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D14A30" w14:paraId="4CE58BE1" w14:textId="77777777" w:rsidTr="004E3575">
        <w:trPr>
          <w:trHeight w:val="920"/>
        </w:trPr>
        <w:tc>
          <w:tcPr>
            <w:tcW w:w="3434" w:type="dxa"/>
            <w:tcBorders>
              <w:top w:val="single" w:sz="4" w:space="0" w:color="auto"/>
              <w:bottom w:val="single" w:sz="4" w:space="0" w:color="auto"/>
              <w:right w:val="single" w:sz="4" w:space="0" w:color="auto"/>
            </w:tcBorders>
            <w:shd w:val="clear" w:color="auto" w:fill="5B8AFF"/>
            <w:vAlign w:val="center"/>
          </w:tcPr>
          <w:p w14:paraId="40D2B8E8" w14:textId="77777777" w:rsidR="0026513E" w:rsidRPr="00D14A30" w:rsidRDefault="00795C6B" w:rsidP="002264B8">
            <w:pPr>
              <w:pStyle w:val="Ttulo2"/>
              <w:ind w:right="72"/>
              <w:jc w:val="left"/>
              <w:rPr>
                <w:rFonts w:cs="Arial"/>
                <w:bCs/>
                <w:color w:val="FFFFFF"/>
              </w:rPr>
            </w:pPr>
            <w:r w:rsidRPr="00D14A30">
              <w:rPr>
                <w:rFonts w:cs="Arial"/>
                <w:color w:val="FFFFFF"/>
                <w:lang w:val="es-CO"/>
              </w:rPr>
              <w:t>Entidad</w:t>
            </w:r>
            <w:r w:rsidR="00086B16" w:rsidRPr="00D14A30">
              <w:rPr>
                <w:rFonts w:cs="Arial"/>
                <w:color w:val="FFFFFF"/>
                <w:lang w:val="es-CO"/>
              </w:rPr>
              <w:t xml:space="preserve"> </w:t>
            </w:r>
            <w:r w:rsidRPr="00D14A30">
              <w:rPr>
                <w:rFonts w:cs="Arial"/>
                <w:color w:val="FFFFFF"/>
                <w:lang w:val="es-CO"/>
              </w:rPr>
              <w:t>originadora</w:t>
            </w:r>
            <w:r w:rsidR="00293F29" w:rsidRPr="00D14A30">
              <w:rPr>
                <w:rFonts w:cs="Arial"/>
                <w:color w:val="FFFFFF"/>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6F0C7B5D" w14:textId="77777777" w:rsidR="0026513E" w:rsidRPr="00D14A30" w:rsidRDefault="0026778A" w:rsidP="00795C6B">
            <w:pPr>
              <w:pStyle w:val="Ttulo2"/>
              <w:ind w:left="72" w:right="72"/>
              <w:jc w:val="left"/>
              <w:rPr>
                <w:rFonts w:cs="Arial"/>
                <w:bCs/>
                <w:i/>
                <w:color w:val="808080"/>
              </w:rPr>
            </w:pPr>
            <w:r w:rsidRPr="00D14A30">
              <w:rPr>
                <w:rFonts w:cs="Arial"/>
                <w:bCs/>
                <w:iCs/>
                <w:color w:val="808080"/>
              </w:rPr>
              <w:t>Unidad Nacional de Protección</w:t>
            </w:r>
          </w:p>
        </w:tc>
      </w:tr>
      <w:tr w:rsidR="0026778A" w:rsidRPr="00D14A30" w14:paraId="58621AD6" w14:textId="77777777" w:rsidTr="004E3575">
        <w:trPr>
          <w:trHeight w:val="1053"/>
        </w:trPr>
        <w:tc>
          <w:tcPr>
            <w:tcW w:w="3434" w:type="dxa"/>
            <w:tcBorders>
              <w:top w:val="single" w:sz="4" w:space="0" w:color="auto"/>
              <w:bottom w:val="single" w:sz="4" w:space="0" w:color="auto"/>
              <w:right w:val="single" w:sz="4" w:space="0" w:color="auto"/>
            </w:tcBorders>
            <w:shd w:val="clear" w:color="auto" w:fill="5B8AFF"/>
            <w:vAlign w:val="center"/>
          </w:tcPr>
          <w:p w14:paraId="1D342290" w14:textId="77777777" w:rsidR="0026778A" w:rsidRPr="00D14A30" w:rsidRDefault="0026778A" w:rsidP="0026778A">
            <w:pPr>
              <w:pStyle w:val="Ttulo2"/>
              <w:ind w:right="72"/>
              <w:jc w:val="left"/>
              <w:rPr>
                <w:rFonts w:cs="Arial"/>
                <w:bCs/>
                <w:color w:val="FFFFFF"/>
              </w:rPr>
            </w:pPr>
            <w:r w:rsidRPr="00D14A30">
              <w:rPr>
                <w:rFonts w:cs="Arial"/>
                <w:bCs/>
                <w:color w:val="FFFFFF"/>
              </w:rPr>
              <w:t>Fecha (dd/mm/aa):</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41EB065" w14:textId="42FA6DEF" w:rsidR="0026778A" w:rsidRPr="00D14A30" w:rsidRDefault="008D2AC1" w:rsidP="0026778A">
            <w:pPr>
              <w:pStyle w:val="Ttulo2"/>
              <w:ind w:left="72" w:right="72"/>
              <w:jc w:val="left"/>
              <w:rPr>
                <w:rFonts w:cs="Arial"/>
                <w:b w:val="0"/>
              </w:rPr>
            </w:pPr>
            <w:r>
              <w:rPr>
                <w:rFonts w:cs="Arial"/>
                <w:b w:val="0"/>
              </w:rPr>
              <w:t>27</w:t>
            </w:r>
            <w:r w:rsidR="00735950" w:rsidRPr="00D14A30">
              <w:rPr>
                <w:rFonts w:cs="Arial"/>
                <w:b w:val="0"/>
              </w:rPr>
              <w:t>-</w:t>
            </w:r>
            <w:r>
              <w:rPr>
                <w:rFonts w:cs="Arial"/>
                <w:b w:val="0"/>
              </w:rPr>
              <w:t>10</w:t>
            </w:r>
            <w:r w:rsidR="00735950" w:rsidRPr="00D14A30">
              <w:rPr>
                <w:rFonts w:cs="Arial"/>
                <w:b w:val="0"/>
              </w:rPr>
              <w:t>-2023</w:t>
            </w:r>
          </w:p>
        </w:tc>
      </w:tr>
      <w:tr w:rsidR="0026778A" w:rsidRPr="00D14A30" w14:paraId="47055BF9" w14:textId="77777777" w:rsidTr="00696582">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46AC5F3B" w14:textId="77777777" w:rsidR="0026778A" w:rsidRPr="00D14A30" w:rsidRDefault="0026778A" w:rsidP="0026778A">
            <w:pPr>
              <w:pStyle w:val="Ttulo2"/>
              <w:ind w:right="72"/>
              <w:jc w:val="left"/>
              <w:rPr>
                <w:rFonts w:cs="Arial"/>
                <w:bCs/>
                <w:color w:val="FFFFFF"/>
              </w:rPr>
            </w:pPr>
            <w:r w:rsidRPr="00D14A30">
              <w:rPr>
                <w:rFonts w:cs="Arial"/>
                <w:bCs/>
                <w:color w:val="FFFFFF"/>
              </w:rPr>
              <w:t>Proyecto de Decreto/Resolución:</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49792175" w14:textId="39AC38B2" w:rsidR="0026778A" w:rsidRPr="006C3292" w:rsidRDefault="006C3292" w:rsidP="00D14A30">
            <w:pPr>
              <w:spacing w:after="160" w:line="259" w:lineRule="auto"/>
              <w:jc w:val="both"/>
              <w:rPr>
                <w:rFonts w:eastAsia="Calibri" w:cs="Arial"/>
                <w:i/>
                <w:iCs/>
                <w:color w:val="000000"/>
                <w:bdr w:val="none" w:sz="0" w:space="0" w:color="auto" w:frame="1"/>
                <w:shd w:val="clear" w:color="auto" w:fill="FFFFFF"/>
                <w:lang w:val="es-CO" w:eastAsia="en-US"/>
              </w:rPr>
            </w:pPr>
            <w:r>
              <w:rPr>
                <w:rFonts w:cs="Arial"/>
                <w:b/>
                <w:bCs/>
                <w:i/>
                <w:iCs/>
              </w:rPr>
              <w:t>“</w:t>
            </w:r>
            <w:r w:rsidR="00A3470B" w:rsidRPr="00A3470B">
              <w:rPr>
                <w:rFonts w:cs="Arial"/>
                <w:b/>
                <w:bCs/>
                <w:i/>
                <w:iCs/>
              </w:rPr>
              <w:t>Por el cual se modifican los artículos </w:t>
            </w:r>
            <w:hyperlink r:id="rId8" w:anchor="2.4.1.2.6" w:tooltip="vinculo" w:history="1">
              <w:r w:rsidR="00A3470B" w:rsidRPr="00A3470B">
                <w:rPr>
                  <w:rStyle w:val="Hipervnculo"/>
                  <w:rFonts w:cs="Arial"/>
                  <w:b/>
                  <w:bCs/>
                  <w:i/>
                  <w:iCs/>
                  <w:color w:val="auto"/>
                  <w:u w:val="none"/>
                </w:rPr>
                <w:t>2.4.1.2.6</w:t>
              </w:r>
            </w:hyperlink>
            <w:r w:rsidR="00A3470B" w:rsidRPr="00A3470B">
              <w:rPr>
                <w:rFonts w:cs="Arial"/>
                <w:b/>
                <w:bCs/>
                <w:i/>
                <w:iCs/>
              </w:rPr>
              <w:t xml:space="preserve">, </w:t>
            </w:r>
            <w:hyperlink r:id="rId9" w:anchor="2.4.1.2.40" w:tooltip="vinculo" w:history="1">
              <w:r w:rsidR="00A3470B" w:rsidRPr="00A3470B">
                <w:rPr>
                  <w:rStyle w:val="Hipervnculo"/>
                  <w:rFonts w:cs="Arial"/>
                  <w:b/>
                  <w:bCs/>
                  <w:i/>
                  <w:iCs/>
                  <w:color w:val="auto"/>
                  <w:u w:val="none"/>
                </w:rPr>
                <w:t>2.4.1.2.7 </w:t>
              </w:r>
            </w:hyperlink>
            <w:r w:rsidR="00A3470B" w:rsidRPr="00A3470B">
              <w:rPr>
                <w:rFonts w:cs="Arial"/>
                <w:b/>
                <w:bCs/>
                <w:i/>
                <w:iCs/>
              </w:rPr>
              <w:t>del Capítulo 2, y el artículo 2.4.1.5.3 del Capítulo 5 del Título 1, Parte 4 del Libro 2 del Decreto 1066 de 2015 Único Reglamentario del Sector Administrativo del Interior, en lo que hace referencia a los Programas de Prevención y Protección de los derechos a la vida, la libertad, la integridad y la seguridad de personas, grupos y comunidades</w:t>
            </w:r>
            <w:r w:rsidR="00D14A30">
              <w:rPr>
                <w:rFonts w:cs="Arial"/>
              </w:rPr>
              <w:t>.</w:t>
            </w:r>
            <w:r>
              <w:rPr>
                <w:rFonts w:cs="Arial"/>
                <w:i/>
                <w:iCs/>
              </w:rPr>
              <w:t>”</w:t>
            </w:r>
          </w:p>
        </w:tc>
      </w:tr>
      <w:tr w:rsidR="0026778A" w:rsidRPr="00D14A30" w14:paraId="27BA1E32" w14:textId="77777777" w:rsidTr="0075705D">
        <w:trPr>
          <w:trHeight w:val="674"/>
        </w:trPr>
        <w:tc>
          <w:tcPr>
            <w:tcW w:w="10774" w:type="dxa"/>
            <w:gridSpan w:val="3"/>
            <w:tcBorders>
              <w:top w:val="single" w:sz="4" w:space="0" w:color="auto"/>
            </w:tcBorders>
            <w:shd w:val="clear" w:color="auto" w:fill="FFFFFF"/>
            <w:vAlign w:val="center"/>
          </w:tcPr>
          <w:p w14:paraId="33A62A76" w14:textId="77777777" w:rsidR="00BA6EFD" w:rsidRPr="00D14A30" w:rsidRDefault="00BA6EFD" w:rsidP="00BA6EFD">
            <w:pPr>
              <w:ind w:left="494"/>
              <w:rPr>
                <w:rFonts w:cs="Arial"/>
                <w:b/>
                <w:color w:val="000000"/>
                <w:lang w:val="es-CO"/>
              </w:rPr>
            </w:pPr>
          </w:p>
          <w:p w14:paraId="08B7C3E4" w14:textId="77777777" w:rsidR="00BA6EFD" w:rsidRPr="00D14A30" w:rsidRDefault="00BA6EFD">
            <w:pPr>
              <w:numPr>
                <w:ilvl w:val="0"/>
                <w:numId w:val="1"/>
              </w:numPr>
              <w:ind w:left="494"/>
              <w:rPr>
                <w:rFonts w:cs="Arial"/>
                <w:b/>
                <w:color w:val="000000"/>
                <w:lang w:val="es-CO"/>
              </w:rPr>
            </w:pPr>
            <w:r w:rsidRPr="00D14A30">
              <w:rPr>
                <w:rFonts w:cs="Arial"/>
                <w:b/>
                <w:color w:val="000000"/>
                <w:lang w:val="es-CO"/>
              </w:rPr>
              <w:t>ANTECEDENTES Y RAZONES DE OPORTUNIDAD Y CONVENIENCIA QUE JUSTIFICAN SU EXPEDICIÓN.</w:t>
            </w:r>
          </w:p>
          <w:p w14:paraId="4316C8FE" w14:textId="7CBB497D" w:rsidR="00114FAA" w:rsidRDefault="00114FAA" w:rsidP="00114FAA">
            <w:pPr>
              <w:shd w:val="clear" w:color="auto" w:fill="FFFFFF"/>
              <w:tabs>
                <w:tab w:val="num" w:pos="720"/>
              </w:tabs>
              <w:spacing w:after="100" w:afterAutospacing="1"/>
              <w:contextualSpacing/>
              <w:jc w:val="both"/>
              <w:rPr>
                <w:rFonts w:eastAsia="Calibri" w:cs="Arial"/>
                <w:lang w:val="es-CO" w:eastAsia="en-US"/>
              </w:rPr>
            </w:pPr>
          </w:p>
          <w:p w14:paraId="37FF4782" w14:textId="77777777" w:rsidR="006C3292" w:rsidRDefault="006C3292" w:rsidP="00114FAA">
            <w:pPr>
              <w:shd w:val="clear" w:color="auto" w:fill="FFFFFF"/>
              <w:tabs>
                <w:tab w:val="num" w:pos="720"/>
              </w:tabs>
              <w:spacing w:after="100" w:afterAutospacing="1"/>
              <w:contextualSpacing/>
              <w:jc w:val="both"/>
              <w:rPr>
                <w:rFonts w:eastAsia="Calibri" w:cs="Arial"/>
                <w:lang w:val="es-CO" w:eastAsia="en-US"/>
              </w:rPr>
            </w:pPr>
          </w:p>
          <w:p w14:paraId="432D44D1" w14:textId="21754F4E" w:rsidR="00114FAA" w:rsidRDefault="008D07A5" w:rsidP="00114FAA">
            <w:pPr>
              <w:shd w:val="clear" w:color="auto" w:fill="FFFFFF"/>
              <w:tabs>
                <w:tab w:val="num" w:pos="720"/>
              </w:tabs>
              <w:spacing w:after="100" w:afterAutospacing="1"/>
              <w:contextualSpacing/>
              <w:jc w:val="both"/>
              <w:rPr>
                <w:rFonts w:eastAsia="Calibri" w:cs="Arial"/>
                <w:b/>
                <w:bCs/>
                <w:lang w:val="es-CO" w:eastAsia="en-US"/>
              </w:rPr>
            </w:pPr>
            <w:r>
              <w:rPr>
                <w:rFonts w:eastAsia="Calibri" w:cs="Arial"/>
                <w:b/>
                <w:bCs/>
                <w:lang w:val="es-CO" w:eastAsia="en-US"/>
              </w:rPr>
              <w:t xml:space="preserve">A.) </w:t>
            </w:r>
            <w:r w:rsidR="00BA5782">
              <w:rPr>
                <w:rFonts w:eastAsia="Calibri" w:cs="Arial"/>
                <w:b/>
                <w:bCs/>
                <w:lang w:val="es-CO" w:eastAsia="en-US"/>
              </w:rPr>
              <w:t xml:space="preserve">Modificación de las Medidas de Protección </w:t>
            </w:r>
            <w:r w:rsidR="008E5C38" w:rsidRPr="008E5C38">
              <w:rPr>
                <w:rFonts w:eastAsia="Calibri" w:cs="Arial"/>
                <w:b/>
                <w:bCs/>
                <w:lang w:eastAsia="en-US"/>
              </w:rPr>
              <w:t>artículo</w:t>
            </w:r>
            <w:bookmarkStart w:id="0" w:name="2.4.1.2.6"/>
            <w:bookmarkEnd w:id="0"/>
            <w:r w:rsidR="008E5C38" w:rsidRPr="008E5C38">
              <w:rPr>
                <w:rFonts w:eastAsia="Calibri" w:cs="Arial"/>
                <w:b/>
                <w:bCs/>
                <w:lang w:eastAsia="en-US"/>
              </w:rPr>
              <w:t> 2.4.1.2.6.</w:t>
            </w:r>
            <w:r w:rsidR="006C3292">
              <w:rPr>
                <w:rFonts w:eastAsia="Calibri" w:cs="Arial"/>
                <w:b/>
                <w:bCs/>
                <w:lang w:eastAsia="en-US"/>
              </w:rPr>
              <w:t xml:space="preserve"> y </w:t>
            </w:r>
            <w:r w:rsidR="008E5C38" w:rsidRPr="008E5C38">
              <w:rPr>
                <w:rFonts w:eastAsia="Calibri" w:cs="Arial"/>
                <w:b/>
                <w:bCs/>
                <w:lang w:eastAsia="en-US"/>
              </w:rPr>
              <w:t xml:space="preserve">2, 2.4.1.5.3 del </w:t>
            </w:r>
            <w:r w:rsidR="006C3292" w:rsidRPr="006C3292">
              <w:rPr>
                <w:rFonts w:eastAsia="Calibri" w:cs="Arial"/>
                <w:b/>
                <w:bCs/>
                <w:i/>
                <w:iCs/>
                <w:lang w:eastAsia="en-US"/>
              </w:rPr>
              <w:t xml:space="preserve">del </w:t>
            </w:r>
            <w:r w:rsidR="006C3292" w:rsidRPr="006C3292">
              <w:rPr>
                <w:rFonts w:eastAsia="Calibri" w:cs="Arial"/>
                <w:b/>
                <w:bCs/>
                <w:lang w:eastAsia="en-US"/>
              </w:rPr>
              <w:t>Capítulo 2</w:t>
            </w:r>
            <w:r w:rsidR="006C3292">
              <w:rPr>
                <w:rFonts w:eastAsia="Calibri" w:cs="Arial"/>
                <w:b/>
                <w:bCs/>
                <w:lang w:eastAsia="en-US"/>
              </w:rPr>
              <w:t xml:space="preserve"> y </w:t>
            </w:r>
            <w:r w:rsidR="008E5C38" w:rsidRPr="006C3292">
              <w:rPr>
                <w:rFonts w:eastAsia="Calibri" w:cs="Arial"/>
                <w:b/>
                <w:bCs/>
                <w:lang w:eastAsia="en-US"/>
              </w:rPr>
              <w:t>Capítulo</w:t>
            </w:r>
            <w:r w:rsidR="008E5C38" w:rsidRPr="008E5C38">
              <w:rPr>
                <w:rFonts w:eastAsia="Calibri" w:cs="Arial"/>
                <w:b/>
                <w:bCs/>
                <w:lang w:eastAsia="en-US"/>
              </w:rPr>
              <w:t xml:space="preserve"> 5 del Título 1, Parte 4 del Libro 2 del Decreto 1066 de 2015</w:t>
            </w:r>
            <w:r w:rsidR="008E5C38">
              <w:rPr>
                <w:rFonts w:eastAsia="Calibri" w:cs="Arial"/>
                <w:b/>
                <w:bCs/>
                <w:lang w:eastAsia="en-US"/>
              </w:rPr>
              <w:t xml:space="preserve"> </w:t>
            </w:r>
            <w:r w:rsidR="00BA5782">
              <w:rPr>
                <w:rFonts w:eastAsia="Calibri" w:cs="Arial"/>
                <w:b/>
                <w:bCs/>
                <w:lang w:val="es-CO" w:eastAsia="en-US"/>
              </w:rPr>
              <w:t>de la Justicia Especial para la Paz</w:t>
            </w:r>
            <w:r w:rsidR="005420D2">
              <w:rPr>
                <w:rFonts w:eastAsia="Calibri" w:cs="Arial"/>
                <w:b/>
                <w:bCs/>
                <w:lang w:val="es-CO" w:eastAsia="en-US"/>
              </w:rPr>
              <w:t xml:space="preserve"> - JEP</w:t>
            </w:r>
            <w:r w:rsidR="008E5C38">
              <w:rPr>
                <w:rFonts w:eastAsia="Calibri" w:cs="Arial"/>
                <w:b/>
                <w:bCs/>
                <w:lang w:val="es-CO" w:eastAsia="en-US"/>
              </w:rPr>
              <w:t>.</w:t>
            </w:r>
          </w:p>
          <w:p w14:paraId="50285941" w14:textId="36F5003C" w:rsidR="008D07A5" w:rsidRDefault="008D07A5" w:rsidP="00114FAA">
            <w:pPr>
              <w:shd w:val="clear" w:color="auto" w:fill="FFFFFF"/>
              <w:tabs>
                <w:tab w:val="num" w:pos="720"/>
              </w:tabs>
              <w:spacing w:after="100" w:afterAutospacing="1"/>
              <w:contextualSpacing/>
              <w:jc w:val="both"/>
              <w:rPr>
                <w:rFonts w:eastAsia="Calibri" w:cs="Arial"/>
                <w:b/>
                <w:bCs/>
                <w:lang w:val="es-CO" w:eastAsia="en-US"/>
              </w:rPr>
            </w:pPr>
          </w:p>
          <w:p w14:paraId="7016CDAB" w14:textId="77777777" w:rsidR="008D07A5" w:rsidRPr="008D07A5" w:rsidRDefault="008D07A5" w:rsidP="00114FAA">
            <w:pPr>
              <w:shd w:val="clear" w:color="auto" w:fill="FFFFFF"/>
              <w:tabs>
                <w:tab w:val="num" w:pos="720"/>
              </w:tabs>
              <w:spacing w:after="100" w:afterAutospacing="1"/>
              <w:contextualSpacing/>
              <w:jc w:val="both"/>
              <w:rPr>
                <w:rFonts w:eastAsia="Calibri" w:cs="Arial"/>
                <w:b/>
                <w:bCs/>
                <w:lang w:val="es-CO" w:eastAsia="en-US"/>
              </w:rPr>
            </w:pPr>
          </w:p>
          <w:p w14:paraId="618D3C52" w14:textId="3F8D8CFB" w:rsidR="00114FAA" w:rsidRPr="00114FAA" w:rsidRDefault="00114FAA" w:rsidP="00114FAA">
            <w:pPr>
              <w:shd w:val="clear" w:color="auto" w:fill="FFFFFF"/>
              <w:tabs>
                <w:tab w:val="num" w:pos="720"/>
              </w:tabs>
              <w:spacing w:after="100" w:afterAutospacing="1"/>
              <w:contextualSpacing/>
              <w:jc w:val="both"/>
              <w:rPr>
                <w:rFonts w:eastAsia="Calibri" w:cs="Arial"/>
                <w:lang w:eastAsia="en-US"/>
              </w:rPr>
            </w:pPr>
            <w:r>
              <w:rPr>
                <w:rFonts w:eastAsia="Calibri" w:cs="Arial"/>
                <w:lang w:eastAsia="en-US"/>
              </w:rPr>
              <w:t>La República de Colombia</w:t>
            </w:r>
            <w:r w:rsidRPr="00114FAA">
              <w:rPr>
                <w:rFonts w:eastAsia="Calibri" w:cs="Arial"/>
                <w:lang w:eastAsia="en-US"/>
              </w:rPr>
              <w:t>,</w:t>
            </w:r>
            <w:r>
              <w:rPr>
                <w:rFonts w:eastAsia="Calibri" w:cs="Arial"/>
                <w:lang w:eastAsia="en-US"/>
              </w:rPr>
              <w:t xml:space="preserve"> está</w:t>
            </w:r>
            <w:r w:rsidRPr="00114FAA">
              <w:rPr>
                <w:rFonts w:eastAsia="Calibri" w:cs="Arial"/>
                <w:lang w:eastAsia="en-US"/>
              </w:rPr>
              <w:t xml:space="preserve"> instituida como Estado Social de Derecho, a través de la Constitución Política, reconoce y establece la obligación que le asiste al Estado en la protección integral de los derechos humanos, a la vida, la libertad, la integridad y la seguridad personal.</w:t>
            </w:r>
          </w:p>
          <w:p w14:paraId="024FFACC" w14:textId="77777777" w:rsidR="00114FAA" w:rsidRPr="00114FAA" w:rsidRDefault="00114FAA" w:rsidP="00114FAA">
            <w:pPr>
              <w:shd w:val="clear" w:color="auto" w:fill="FFFFFF"/>
              <w:tabs>
                <w:tab w:val="num" w:pos="720"/>
              </w:tabs>
              <w:spacing w:after="100" w:afterAutospacing="1"/>
              <w:contextualSpacing/>
              <w:jc w:val="both"/>
              <w:rPr>
                <w:rFonts w:eastAsia="Calibri" w:cs="Arial"/>
                <w:lang w:eastAsia="en-US"/>
              </w:rPr>
            </w:pPr>
          </w:p>
          <w:p w14:paraId="515511E4" w14:textId="254007C1" w:rsidR="00114FAA" w:rsidRPr="00114FAA" w:rsidRDefault="00114FAA" w:rsidP="00114FAA">
            <w:pPr>
              <w:shd w:val="clear" w:color="auto" w:fill="FFFFFF"/>
              <w:tabs>
                <w:tab w:val="num" w:pos="720"/>
              </w:tabs>
              <w:spacing w:after="100" w:afterAutospacing="1"/>
              <w:contextualSpacing/>
              <w:jc w:val="both"/>
              <w:rPr>
                <w:rFonts w:eastAsia="Calibri" w:cs="Arial"/>
                <w:i/>
                <w:iCs/>
                <w:lang w:eastAsia="en-US"/>
              </w:rPr>
            </w:pPr>
            <w:r>
              <w:rPr>
                <w:rFonts w:eastAsia="Calibri" w:cs="Arial"/>
                <w:lang w:eastAsia="en-US"/>
              </w:rPr>
              <w:t>E</w:t>
            </w:r>
            <w:r w:rsidRPr="00114FAA">
              <w:rPr>
                <w:rFonts w:eastAsia="Calibri" w:cs="Arial"/>
                <w:lang w:eastAsia="en-US"/>
              </w:rPr>
              <w:t>l inciso segundo del artículo 2 de la Constitución Política de Colombia establece que 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479C30FF" w14:textId="77777777" w:rsidR="00114FAA" w:rsidRPr="00114FAA" w:rsidRDefault="00114FAA" w:rsidP="00114FAA">
            <w:pPr>
              <w:shd w:val="clear" w:color="auto" w:fill="FFFFFF"/>
              <w:tabs>
                <w:tab w:val="num" w:pos="720"/>
              </w:tabs>
              <w:spacing w:after="100" w:afterAutospacing="1"/>
              <w:contextualSpacing/>
              <w:jc w:val="both"/>
              <w:rPr>
                <w:rFonts w:eastAsia="Calibri" w:cs="Arial"/>
                <w:lang w:eastAsia="en-US"/>
              </w:rPr>
            </w:pPr>
          </w:p>
          <w:p w14:paraId="4E1076F6" w14:textId="21860046" w:rsidR="00114FAA" w:rsidRPr="00114FAA" w:rsidRDefault="00114FAA" w:rsidP="00114FAA">
            <w:pPr>
              <w:shd w:val="clear" w:color="auto" w:fill="FFFFFF"/>
              <w:tabs>
                <w:tab w:val="num" w:pos="720"/>
              </w:tabs>
              <w:spacing w:after="100" w:afterAutospacing="1"/>
              <w:contextualSpacing/>
              <w:jc w:val="both"/>
              <w:rPr>
                <w:rFonts w:eastAsia="Calibri" w:cs="Arial"/>
                <w:lang w:eastAsia="en-US"/>
              </w:rPr>
            </w:pPr>
            <w:r>
              <w:rPr>
                <w:rFonts w:eastAsia="Calibri" w:cs="Arial"/>
                <w:lang w:eastAsia="en-US"/>
              </w:rPr>
              <w:t>E</w:t>
            </w:r>
            <w:r w:rsidRPr="00114FAA">
              <w:rPr>
                <w:rFonts w:eastAsia="Calibri" w:cs="Arial"/>
                <w:lang w:eastAsia="en-US"/>
              </w:rPr>
              <w:t xml:space="preserve">l artículo 209 de la Constitución Política de Colombia, consagra que la función administrativa está al servicio de los intereses generales y se desarrolla con fundamento en los principios de igualdad, moralidad, eficacia, economía, celeridad, imparcialidad y publicidad. Ante lo cual las autoridades administrativas deben coordinar sus actuaciones para el adecuado cumplimiento de los fines del Estado. </w:t>
            </w:r>
          </w:p>
          <w:p w14:paraId="68B08A6A" w14:textId="77777777" w:rsidR="00114FAA" w:rsidRPr="00114FAA" w:rsidRDefault="00114FAA" w:rsidP="00114FAA">
            <w:pPr>
              <w:shd w:val="clear" w:color="auto" w:fill="FFFFFF"/>
              <w:tabs>
                <w:tab w:val="num" w:pos="720"/>
              </w:tabs>
              <w:spacing w:after="100" w:afterAutospacing="1"/>
              <w:contextualSpacing/>
              <w:jc w:val="both"/>
              <w:rPr>
                <w:rFonts w:eastAsia="Calibri" w:cs="Arial"/>
                <w:lang w:eastAsia="en-US"/>
              </w:rPr>
            </w:pPr>
          </w:p>
          <w:p w14:paraId="57BAF68C" w14:textId="0202CC86" w:rsidR="00114FAA" w:rsidRPr="00114FAA" w:rsidRDefault="00114FAA" w:rsidP="00114FAA">
            <w:pPr>
              <w:shd w:val="clear" w:color="auto" w:fill="FFFFFF"/>
              <w:tabs>
                <w:tab w:val="num" w:pos="720"/>
              </w:tabs>
              <w:spacing w:after="100" w:afterAutospacing="1"/>
              <w:contextualSpacing/>
              <w:jc w:val="both"/>
              <w:rPr>
                <w:rFonts w:eastAsia="Calibri" w:cs="Arial"/>
                <w:lang w:eastAsia="en-US"/>
              </w:rPr>
            </w:pPr>
            <w:r>
              <w:rPr>
                <w:rFonts w:eastAsia="Calibri" w:cs="Arial"/>
                <w:lang w:eastAsia="en-US"/>
              </w:rPr>
              <w:t>A su turno, en el</w:t>
            </w:r>
            <w:r w:rsidRPr="00114FAA">
              <w:rPr>
                <w:rFonts w:eastAsia="Calibri" w:cs="Arial"/>
                <w:lang w:eastAsia="en-US"/>
              </w:rPr>
              <w:t xml:space="preserve"> artículo 218 de la</w:t>
            </w:r>
            <w:r w:rsidRPr="00114FAA">
              <w:rPr>
                <w:rFonts w:eastAsia="Calibri" w:cs="Arial"/>
                <w:b/>
                <w:bCs/>
                <w:lang w:eastAsia="en-US"/>
              </w:rPr>
              <w:t xml:space="preserve"> </w:t>
            </w:r>
            <w:r w:rsidRPr="00114FAA">
              <w:rPr>
                <w:rFonts w:eastAsia="Calibri" w:cs="Arial"/>
                <w:lang w:eastAsia="en-US"/>
              </w:rPr>
              <w:t>Constitución Política de Colombia determina que la Policía Nacional es un cuerpo armado permanente de naturaleza civil, a cargo de la Nación, cuyo fin primordial es el mantenimiento de las condiciones necesarias para el ejercicio de los derechos y libertades públicas, y para asegurar que los habitantes de Colombia convivan en paz. </w:t>
            </w:r>
          </w:p>
          <w:p w14:paraId="43EB1B8E" w14:textId="77777777" w:rsidR="00114FAA" w:rsidRDefault="00114FAA" w:rsidP="009603C9">
            <w:pPr>
              <w:shd w:val="clear" w:color="auto" w:fill="FFFFFF"/>
              <w:tabs>
                <w:tab w:val="num" w:pos="720"/>
              </w:tabs>
              <w:spacing w:after="100" w:afterAutospacing="1"/>
              <w:contextualSpacing/>
              <w:jc w:val="both"/>
              <w:rPr>
                <w:rFonts w:eastAsia="Calibri" w:cs="Arial"/>
                <w:lang w:val="es-CO" w:eastAsia="en-US"/>
              </w:rPr>
            </w:pPr>
          </w:p>
          <w:p w14:paraId="71CDB1EF" w14:textId="281C663F" w:rsidR="009603C9" w:rsidRPr="00D14A30" w:rsidRDefault="00A13F0B" w:rsidP="009603C9">
            <w:pPr>
              <w:shd w:val="clear" w:color="auto" w:fill="FFFFFF"/>
              <w:tabs>
                <w:tab w:val="num" w:pos="720"/>
              </w:tabs>
              <w:spacing w:after="100" w:afterAutospacing="1"/>
              <w:contextualSpacing/>
              <w:jc w:val="both"/>
              <w:rPr>
                <w:rFonts w:eastAsia="Calibri" w:cs="Arial"/>
                <w:lang w:val="es-CO" w:eastAsia="en-US"/>
              </w:rPr>
            </w:pPr>
            <w:r>
              <w:rPr>
                <w:rFonts w:eastAsia="Calibri" w:cs="Arial"/>
                <w:lang w:val="es-CO" w:eastAsia="en-US"/>
              </w:rPr>
              <w:t>El</w:t>
            </w:r>
            <w:r w:rsidR="009603C9" w:rsidRPr="00D14A30">
              <w:rPr>
                <w:rFonts w:eastAsia="Calibri" w:cs="Arial"/>
                <w:lang w:val="es-CO" w:eastAsia="en-US"/>
              </w:rPr>
              <w:t xml:space="preserve"> Programa de Protección</w:t>
            </w:r>
            <w:r w:rsidR="003F0ECC">
              <w:rPr>
                <w:rFonts w:eastAsia="Calibri" w:cs="Arial"/>
                <w:lang w:val="es-CO" w:eastAsia="en-US"/>
              </w:rPr>
              <w:t xml:space="preserve"> a personas </w:t>
            </w:r>
            <w:r w:rsidR="00B623B7">
              <w:rPr>
                <w:rFonts w:eastAsia="Calibri" w:cs="Arial"/>
                <w:lang w:eastAsia="en-US"/>
              </w:rPr>
              <w:t xml:space="preserve">está dirigido aquellas personas </w:t>
            </w:r>
            <w:r w:rsidR="003F0ECC" w:rsidRPr="003F0ECC">
              <w:rPr>
                <w:rFonts w:eastAsia="Calibri" w:cs="Arial"/>
                <w:lang w:eastAsia="en-US"/>
              </w:rPr>
              <w:t xml:space="preserve">que se encuentren en situación de riesgo inminente contra su vida, integridad, seguridad o libertad, por causas relacionadas con la violencia política o ideológica, o con el conflicto armado interno, </w:t>
            </w:r>
            <w:r>
              <w:rPr>
                <w:rFonts w:eastAsia="Calibri" w:cs="Arial"/>
                <w:lang w:val="es-CO" w:eastAsia="en-US"/>
              </w:rPr>
              <w:t xml:space="preserve">tiene su origen en </w:t>
            </w:r>
            <w:r w:rsidR="003F0ECC">
              <w:rPr>
                <w:rFonts w:eastAsia="Calibri" w:cs="Arial"/>
                <w:lang w:val="es-CO" w:eastAsia="en-US"/>
              </w:rPr>
              <w:t xml:space="preserve">el artículo 81 </w:t>
            </w:r>
            <w:r w:rsidR="00AE2085">
              <w:rPr>
                <w:rFonts w:eastAsia="Calibri" w:cs="Arial"/>
                <w:lang w:val="es-CO" w:eastAsia="en-US"/>
              </w:rPr>
              <w:t xml:space="preserve">de </w:t>
            </w:r>
            <w:r>
              <w:rPr>
                <w:rFonts w:eastAsia="Calibri" w:cs="Arial"/>
                <w:lang w:val="es-CO" w:eastAsia="en-US"/>
              </w:rPr>
              <w:t>la</w:t>
            </w:r>
            <w:r w:rsidR="009603C9" w:rsidRPr="00D14A30">
              <w:rPr>
                <w:rFonts w:eastAsia="Calibri" w:cs="Arial"/>
                <w:lang w:val="es-CO" w:eastAsia="en-US"/>
              </w:rPr>
              <w:t xml:space="preserve"> Ley 418 de 1997</w:t>
            </w:r>
            <w:r>
              <w:rPr>
                <w:rFonts w:eastAsia="Calibri" w:cs="Arial"/>
                <w:lang w:val="es-CO" w:eastAsia="en-US"/>
              </w:rPr>
              <w:t xml:space="preserve"> “</w:t>
            </w:r>
            <w:r w:rsidRPr="00A13F0B">
              <w:rPr>
                <w:rFonts w:eastAsia="Calibri" w:cs="Arial"/>
                <w:i/>
                <w:iCs/>
                <w:lang w:eastAsia="en-US"/>
              </w:rPr>
              <w:t>Por la cual se consagran unos instrumentos para la búsqueda de la convivencia, la eficacia de la justicia y se dictan otras disposiciones."</w:t>
            </w:r>
            <w:r w:rsidR="009603C9" w:rsidRPr="00A13F0B">
              <w:rPr>
                <w:rFonts w:eastAsia="Calibri" w:cs="Arial"/>
                <w:i/>
                <w:iCs/>
                <w:lang w:val="es-CO" w:eastAsia="en-US"/>
              </w:rPr>
              <w:t>,</w:t>
            </w:r>
            <w:r w:rsidR="009603C9" w:rsidRPr="00D14A30">
              <w:rPr>
                <w:rFonts w:eastAsia="Calibri" w:cs="Arial"/>
                <w:lang w:val="es-CO" w:eastAsia="en-US"/>
              </w:rPr>
              <w:t xml:space="preserve"> prorrogada</w:t>
            </w:r>
            <w:r w:rsidR="00B7368B">
              <w:rPr>
                <w:rFonts w:eastAsia="Calibri" w:cs="Arial"/>
                <w:lang w:val="es-CO" w:eastAsia="en-US"/>
              </w:rPr>
              <w:t>,</w:t>
            </w:r>
            <w:r w:rsidR="009603C9" w:rsidRPr="00D14A30">
              <w:rPr>
                <w:rFonts w:eastAsia="Calibri" w:cs="Arial"/>
                <w:lang w:val="es-CO" w:eastAsia="en-US"/>
              </w:rPr>
              <w:t xml:space="preserve"> adicionada y modificada por las Leyes 548 de 1999, </w:t>
            </w:r>
            <w:r w:rsidR="009603C9" w:rsidRPr="00D14A30">
              <w:rPr>
                <w:rFonts w:eastAsia="Calibri" w:cs="Arial"/>
                <w:lang w:eastAsia="en-US"/>
              </w:rPr>
              <w:t xml:space="preserve">782 de 2002, </w:t>
            </w:r>
            <w:r w:rsidR="009603C9" w:rsidRPr="00D14A30">
              <w:rPr>
                <w:rFonts w:eastAsia="Calibri" w:cs="Arial"/>
                <w:lang w:val="es-CO" w:eastAsia="en-US"/>
              </w:rPr>
              <w:t xml:space="preserve">1106 de 2006, 1421 de 2010, 1738 de 2014, 1941 de 2018 y 2272 de 2022, </w:t>
            </w:r>
            <w:r w:rsidR="003F0ECC" w:rsidRPr="003F0ECC">
              <w:rPr>
                <w:rFonts w:eastAsia="Calibri" w:cs="Arial"/>
                <w:lang w:eastAsia="en-US"/>
              </w:rPr>
              <w:t>y que pertenezcan a las siguientes categorías:</w:t>
            </w:r>
            <w:r w:rsidR="009603C9" w:rsidRPr="00D14A30">
              <w:rPr>
                <w:rFonts w:eastAsia="Calibri" w:cs="Arial"/>
                <w:lang w:val="es-CO" w:eastAsia="en-US"/>
              </w:rPr>
              <w:t>, así:</w:t>
            </w:r>
          </w:p>
          <w:p w14:paraId="2185CC1D" w14:textId="77777777" w:rsidR="00D14A30" w:rsidRPr="00D14A30" w:rsidRDefault="00D14A30" w:rsidP="009603C9">
            <w:pPr>
              <w:shd w:val="clear" w:color="auto" w:fill="FFFFFF"/>
              <w:tabs>
                <w:tab w:val="num" w:pos="720"/>
              </w:tabs>
              <w:spacing w:after="100" w:afterAutospacing="1"/>
              <w:contextualSpacing/>
              <w:jc w:val="both"/>
              <w:rPr>
                <w:rFonts w:eastAsia="Calibri" w:cs="Arial"/>
                <w:lang w:val="es-CO" w:eastAsia="en-US"/>
              </w:rPr>
            </w:pPr>
          </w:p>
          <w:p w14:paraId="7B3016AE" w14:textId="724E1441" w:rsidR="009603C9" w:rsidRDefault="009603C9" w:rsidP="009603C9">
            <w:pPr>
              <w:spacing w:before="100" w:beforeAutospacing="1" w:after="100" w:afterAutospacing="1"/>
              <w:ind w:left="426"/>
              <w:contextualSpacing/>
              <w:jc w:val="both"/>
              <w:rPr>
                <w:rFonts w:cs="Arial"/>
                <w:i/>
                <w:iCs/>
                <w:lang w:val="es-CO" w:eastAsia="es-CO"/>
              </w:rPr>
            </w:pPr>
            <w:bookmarkStart w:id="1" w:name="81"/>
            <w:r w:rsidRPr="00D14A30">
              <w:rPr>
                <w:rFonts w:cs="Arial"/>
                <w:i/>
                <w:iCs/>
                <w:lang w:val="es-CO" w:eastAsia="es-CO"/>
              </w:rPr>
              <w:t>“ARTÍCULO 81.</w:t>
            </w:r>
            <w:bookmarkEnd w:id="1"/>
            <w:r w:rsidRPr="00D14A30">
              <w:rPr>
                <w:rFonts w:cs="Arial"/>
                <w:i/>
                <w:iCs/>
                <w:lang w:val="es-CO" w:eastAsia="es-CO"/>
              </w:rPr>
              <w:t> &lt;Artículo modificado por el artículo </w:t>
            </w:r>
            <w:hyperlink r:id="rId10" w:anchor="28" w:history="1">
              <w:r w:rsidRPr="00D14A30">
                <w:rPr>
                  <w:rFonts w:cs="Arial"/>
                  <w:i/>
                  <w:iCs/>
                  <w:u w:val="single"/>
                  <w:lang w:val="es-CO" w:eastAsia="es-CO"/>
                </w:rPr>
                <w:t>28</w:t>
              </w:r>
            </w:hyperlink>
            <w:r w:rsidRPr="00D14A30">
              <w:rPr>
                <w:rFonts w:cs="Arial"/>
                <w:i/>
                <w:iCs/>
                <w:lang w:val="es-CO" w:eastAsia="es-CO"/>
              </w:rPr>
              <w:t> de la Ley 782 de 2002. El nuevo texto es el siguiente:&gt; El Gobierno Nacional pondrá en funcionamiento un programa de protección a personas, que se encuentren en situación de riesgo inminente contra su vida, integridad, seguridad o libertad, por causas relacionadas con la violencia política o ideológica, o con el conflicto armado interno, y que pertenezcan a las siguientes categorías:</w:t>
            </w:r>
          </w:p>
          <w:p w14:paraId="386BFF1E" w14:textId="77777777" w:rsidR="003F0ECC" w:rsidRPr="00D14A30" w:rsidRDefault="003F0ECC" w:rsidP="009603C9">
            <w:pPr>
              <w:spacing w:before="100" w:beforeAutospacing="1" w:after="100" w:afterAutospacing="1"/>
              <w:ind w:left="426"/>
              <w:contextualSpacing/>
              <w:jc w:val="both"/>
              <w:rPr>
                <w:rFonts w:cs="Arial"/>
                <w:i/>
                <w:iCs/>
                <w:lang w:val="es-CO" w:eastAsia="es-CO"/>
              </w:rPr>
            </w:pPr>
          </w:p>
          <w:p w14:paraId="7EE310F6" w14:textId="77777777" w:rsidR="009603C9" w:rsidRPr="00D14A30" w:rsidRDefault="009603C9" w:rsidP="009603C9">
            <w:pPr>
              <w:spacing w:before="100" w:beforeAutospacing="1" w:after="100" w:afterAutospacing="1"/>
              <w:ind w:left="426"/>
              <w:contextualSpacing/>
              <w:jc w:val="both"/>
              <w:rPr>
                <w:rFonts w:cs="Arial"/>
                <w:i/>
                <w:iCs/>
                <w:lang w:val="es-CO" w:eastAsia="es-CO"/>
              </w:rPr>
            </w:pPr>
            <w:r w:rsidRPr="00D14A30">
              <w:rPr>
                <w:rFonts w:cs="Arial"/>
                <w:i/>
                <w:iCs/>
                <w:lang w:val="es-CO" w:eastAsia="es-CO"/>
              </w:rPr>
              <w:t>Dirigentes o activistas de grupos políticos y especialmente de grupos de oposición.</w:t>
            </w:r>
          </w:p>
          <w:p w14:paraId="680EA207" w14:textId="77777777" w:rsidR="009603C9" w:rsidRPr="00D14A30" w:rsidRDefault="009603C9" w:rsidP="009603C9">
            <w:pPr>
              <w:spacing w:before="100" w:beforeAutospacing="1" w:after="100" w:afterAutospacing="1"/>
              <w:ind w:left="426"/>
              <w:contextualSpacing/>
              <w:jc w:val="both"/>
              <w:rPr>
                <w:rFonts w:cs="Arial"/>
                <w:i/>
                <w:iCs/>
                <w:lang w:val="es-CO" w:eastAsia="es-CO"/>
              </w:rPr>
            </w:pPr>
            <w:r w:rsidRPr="00D14A30">
              <w:rPr>
                <w:rFonts w:cs="Arial"/>
                <w:i/>
                <w:iCs/>
                <w:lang w:val="es-CO" w:eastAsia="es-CO"/>
              </w:rPr>
              <w:t>Dirigentes o activistas de organizaciones sociales, cívicas y comunales, gremiales, sindicales, campesinas y de grupos étnicos.</w:t>
            </w:r>
          </w:p>
          <w:p w14:paraId="146ADFB4" w14:textId="77777777" w:rsidR="009603C9" w:rsidRPr="00D14A30" w:rsidRDefault="009603C9" w:rsidP="009603C9">
            <w:pPr>
              <w:spacing w:before="100" w:beforeAutospacing="1" w:after="100" w:afterAutospacing="1"/>
              <w:ind w:left="426"/>
              <w:contextualSpacing/>
              <w:jc w:val="both"/>
              <w:rPr>
                <w:rFonts w:cs="Arial"/>
                <w:i/>
                <w:iCs/>
                <w:lang w:val="es-CO" w:eastAsia="es-CO"/>
              </w:rPr>
            </w:pPr>
            <w:r w:rsidRPr="00D14A30">
              <w:rPr>
                <w:rFonts w:cs="Arial"/>
                <w:i/>
                <w:iCs/>
                <w:lang w:val="es-CO" w:eastAsia="es-CO"/>
              </w:rPr>
              <w:lastRenderedPageBreak/>
              <w:t>Dirigentes o activistas de las organizaciones de derechos humanos y los miembros de la Misión Médica.</w:t>
            </w:r>
          </w:p>
          <w:p w14:paraId="6314CB37" w14:textId="22270555" w:rsidR="009603C9" w:rsidRDefault="009603C9" w:rsidP="009603C9">
            <w:pPr>
              <w:spacing w:before="100" w:beforeAutospacing="1" w:after="100" w:afterAutospacing="1"/>
              <w:ind w:left="426"/>
              <w:contextualSpacing/>
              <w:jc w:val="both"/>
              <w:rPr>
                <w:rFonts w:cs="Arial"/>
                <w:i/>
                <w:iCs/>
                <w:lang w:val="es-CO" w:eastAsia="es-CO"/>
              </w:rPr>
            </w:pPr>
            <w:r w:rsidRPr="00D14A30">
              <w:rPr>
                <w:rFonts w:cs="Arial"/>
                <w:i/>
                <w:iCs/>
                <w:lang w:val="es-CO" w:eastAsia="es-CO"/>
              </w:rPr>
              <w:t>Testigos de casos de violación a los derechos humanos y de infracción al derecho internacional humanitario, independientemente de que no se hayan iniciado los respectivos procesos disciplinarios, penales y administrativos, en concordancia con la normatividad vigente.</w:t>
            </w:r>
          </w:p>
          <w:p w14:paraId="4E0442C7" w14:textId="77777777" w:rsidR="003F0ECC" w:rsidRPr="00D14A30" w:rsidRDefault="003F0ECC" w:rsidP="009603C9">
            <w:pPr>
              <w:spacing w:before="100" w:beforeAutospacing="1" w:after="100" w:afterAutospacing="1"/>
              <w:ind w:left="426"/>
              <w:contextualSpacing/>
              <w:jc w:val="both"/>
              <w:rPr>
                <w:rFonts w:cs="Arial"/>
                <w:i/>
                <w:iCs/>
                <w:lang w:val="es-CO" w:eastAsia="es-CO"/>
              </w:rPr>
            </w:pPr>
          </w:p>
          <w:p w14:paraId="2FC4DA1E" w14:textId="1482AF47" w:rsidR="009603C9" w:rsidRDefault="009603C9" w:rsidP="009603C9">
            <w:pPr>
              <w:spacing w:before="100" w:beforeAutospacing="1" w:after="100" w:afterAutospacing="1"/>
              <w:ind w:left="426"/>
              <w:contextualSpacing/>
              <w:jc w:val="both"/>
              <w:rPr>
                <w:rFonts w:cs="Arial"/>
                <w:i/>
                <w:iCs/>
                <w:lang w:val="es-CO" w:eastAsia="es-CO"/>
              </w:rPr>
            </w:pPr>
            <w:r w:rsidRPr="00D14A30">
              <w:rPr>
                <w:rFonts w:cs="Arial"/>
                <w:i/>
                <w:iCs/>
                <w:lang w:val="es-CO" w:eastAsia="es-CO"/>
              </w:rPr>
              <w:t>PARÁGRAFO 1o. Los interesados en ser acogidos por el programa de protección deben demostrar que existe conexidad directa entre la amenaza y el cargo, o la actividad que ejerce dentro de la organización.</w:t>
            </w:r>
          </w:p>
          <w:p w14:paraId="748AE83E" w14:textId="77777777" w:rsidR="003F0ECC" w:rsidRPr="00D14A30" w:rsidRDefault="003F0ECC" w:rsidP="009603C9">
            <w:pPr>
              <w:spacing w:before="100" w:beforeAutospacing="1" w:after="100" w:afterAutospacing="1"/>
              <w:ind w:left="426"/>
              <w:contextualSpacing/>
              <w:jc w:val="both"/>
              <w:rPr>
                <w:rFonts w:cs="Arial"/>
                <w:i/>
                <w:iCs/>
                <w:lang w:val="es-CO" w:eastAsia="es-CO"/>
              </w:rPr>
            </w:pPr>
          </w:p>
          <w:p w14:paraId="2DF08246" w14:textId="0FFC8E3C" w:rsidR="009603C9" w:rsidRDefault="009603C9" w:rsidP="009603C9">
            <w:pPr>
              <w:spacing w:before="100" w:beforeAutospacing="1" w:after="100" w:afterAutospacing="1"/>
              <w:ind w:left="426"/>
              <w:contextualSpacing/>
              <w:jc w:val="both"/>
              <w:rPr>
                <w:rFonts w:cs="Arial"/>
                <w:i/>
                <w:iCs/>
                <w:lang w:val="es-CO" w:eastAsia="es-CO"/>
              </w:rPr>
            </w:pPr>
            <w:r w:rsidRPr="00D14A30">
              <w:rPr>
                <w:rFonts w:cs="Arial"/>
                <w:i/>
                <w:iCs/>
                <w:lang w:val="es-CO" w:eastAsia="es-CO"/>
              </w:rPr>
              <w:t>PARÁGRAFO 2o. El programa de protección presentará al testigo a que hace mención el numeral 4 de este artículo cuando así lo soliciten las autoridades judiciales o disciplinarias, o permitirá a estas autoridades el acceso a él, para lo cual tomará las medidas de seguridad que requiera el caso.</w:t>
            </w:r>
          </w:p>
          <w:p w14:paraId="66E94313" w14:textId="77777777" w:rsidR="003F0ECC" w:rsidRPr="00D14A30" w:rsidRDefault="003F0ECC" w:rsidP="009603C9">
            <w:pPr>
              <w:spacing w:before="100" w:beforeAutospacing="1" w:after="100" w:afterAutospacing="1"/>
              <w:ind w:left="426"/>
              <w:contextualSpacing/>
              <w:jc w:val="both"/>
              <w:rPr>
                <w:rFonts w:cs="Arial"/>
                <w:i/>
                <w:iCs/>
                <w:lang w:val="es-CO" w:eastAsia="es-CO"/>
              </w:rPr>
            </w:pPr>
          </w:p>
          <w:p w14:paraId="7EC274F1" w14:textId="24F43281" w:rsidR="009603C9" w:rsidRPr="00D14A30" w:rsidRDefault="009603C9" w:rsidP="009603C9">
            <w:pPr>
              <w:spacing w:before="100" w:beforeAutospacing="1" w:after="100" w:afterAutospacing="1"/>
              <w:ind w:left="426"/>
              <w:contextualSpacing/>
              <w:jc w:val="both"/>
              <w:rPr>
                <w:rFonts w:cs="Arial"/>
                <w:i/>
                <w:iCs/>
                <w:lang w:val="es-CO" w:eastAsia="es-CO"/>
              </w:rPr>
            </w:pPr>
            <w:r w:rsidRPr="00D14A30">
              <w:rPr>
                <w:rFonts w:cs="Arial"/>
                <w:i/>
                <w:iCs/>
                <w:lang w:val="es-CO" w:eastAsia="es-CO"/>
              </w:rPr>
              <w:t>PARÁGRAFO 3o. Las medidas de protección correspondientes a este programa serán de carácter temporal y sujetas a revisión periódica.”</w:t>
            </w:r>
          </w:p>
          <w:p w14:paraId="47423AA8" w14:textId="77777777" w:rsidR="00D14A30" w:rsidRPr="00D14A30" w:rsidRDefault="00D14A30" w:rsidP="009603C9">
            <w:pPr>
              <w:spacing w:before="100" w:beforeAutospacing="1" w:after="100" w:afterAutospacing="1"/>
              <w:ind w:left="426"/>
              <w:contextualSpacing/>
              <w:jc w:val="both"/>
              <w:rPr>
                <w:rFonts w:cs="Arial"/>
                <w:i/>
                <w:iCs/>
                <w:lang w:val="es-CO" w:eastAsia="es-CO"/>
              </w:rPr>
            </w:pPr>
          </w:p>
          <w:p w14:paraId="050D46A1" w14:textId="080CD5F8" w:rsidR="009603C9" w:rsidRPr="00D14A30" w:rsidRDefault="009603C9" w:rsidP="009603C9">
            <w:pPr>
              <w:shd w:val="clear" w:color="auto" w:fill="FFFFFF"/>
              <w:tabs>
                <w:tab w:val="num" w:pos="720"/>
              </w:tabs>
              <w:spacing w:after="100" w:afterAutospacing="1"/>
              <w:contextualSpacing/>
              <w:jc w:val="both"/>
              <w:rPr>
                <w:rFonts w:eastAsia="Calibri" w:cs="Arial"/>
                <w:lang w:val="es-CO" w:eastAsia="en-US"/>
              </w:rPr>
            </w:pPr>
            <w:r w:rsidRPr="00D14A30">
              <w:rPr>
                <w:rFonts w:eastAsia="Calibri" w:cs="Arial"/>
                <w:lang w:val="es-CO" w:eastAsia="en-US"/>
              </w:rPr>
              <w:t xml:space="preserve">Del artículo citado se puede extraer </w:t>
            </w:r>
            <w:r w:rsidR="000A52D2">
              <w:rPr>
                <w:rFonts w:eastAsia="Calibri" w:cs="Arial"/>
                <w:lang w:val="es-CO" w:eastAsia="en-US"/>
              </w:rPr>
              <w:t xml:space="preserve">que </w:t>
            </w:r>
            <w:r w:rsidR="003F0ECC">
              <w:rPr>
                <w:rFonts w:eastAsia="Calibri" w:cs="Arial"/>
                <w:lang w:val="es-CO" w:eastAsia="en-US"/>
              </w:rPr>
              <w:t>la</w:t>
            </w:r>
            <w:r w:rsidRPr="00D14A30">
              <w:rPr>
                <w:rFonts w:eastAsia="Calibri" w:cs="Arial"/>
                <w:lang w:val="es-CO" w:eastAsia="en-US"/>
              </w:rPr>
              <w:t xml:space="preserve"> </w:t>
            </w:r>
            <w:r w:rsidR="003F0ECC">
              <w:rPr>
                <w:rFonts w:eastAsia="Calibri" w:cs="Arial"/>
                <w:lang w:val="es-CO" w:eastAsia="en-US"/>
              </w:rPr>
              <w:t>l</w:t>
            </w:r>
            <w:r w:rsidRPr="00D14A30">
              <w:rPr>
                <w:rFonts w:eastAsia="Calibri" w:cs="Arial"/>
                <w:lang w:val="es-CO" w:eastAsia="en-US"/>
              </w:rPr>
              <w:t>ey fija los requisitos para que una persona pueda ser vinculada a este programa de protección, en las siguientes condiciones:</w:t>
            </w:r>
          </w:p>
          <w:p w14:paraId="6DBDCAAE" w14:textId="77777777" w:rsidR="00D14A30" w:rsidRPr="00D14A30" w:rsidRDefault="00D14A30" w:rsidP="009603C9">
            <w:pPr>
              <w:shd w:val="clear" w:color="auto" w:fill="FFFFFF"/>
              <w:tabs>
                <w:tab w:val="num" w:pos="720"/>
              </w:tabs>
              <w:spacing w:after="100" w:afterAutospacing="1"/>
              <w:contextualSpacing/>
              <w:jc w:val="both"/>
              <w:rPr>
                <w:rFonts w:eastAsia="Calibri" w:cs="Arial"/>
                <w:lang w:val="es-CO" w:eastAsia="en-US"/>
              </w:rPr>
            </w:pPr>
          </w:p>
          <w:p w14:paraId="695B3260" w14:textId="77777777" w:rsidR="009603C9" w:rsidRPr="00D14A30" w:rsidRDefault="009603C9">
            <w:pPr>
              <w:numPr>
                <w:ilvl w:val="0"/>
                <w:numId w:val="3"/>
              </w:numPr>
              <w:shd w:val="clear" w:color="auto" w:fill="FFFFFF"/>
              <w:tabs>
                <w:tab w:val="left" w:pos="0"/>
                <w:tab w:val="num" w:pos="426"/>
              </w:tabs>
              <w:spacing w:after="100" w:afterAutospacing="1"/>
              <w:ind w:left="426" w:hanging="426"/>
              <w:contextualSpacing/>
              <w:jc w:val="both"/>
              <w:rPr>
                <w:rFonts w:eastAsia="Calibri" w:cs="Arial"/>
                <w:lang w:val="es-CO" w:eastAsia="en-US"/>
              </w:rPr>
            </w:pPr>
            <w:r w:rsidRPr="00D14A30">
              <w:rPr>
                <w:rFonts w:eastAsia="Calibri" w:cs="Arial"/>
                <w:lang w:val="es-CO" w:eastAsia="en-US"/>
              </w:rPr>
              <w:t>Que la protección se recibe cuando el riesgo sea inminente.</w:t>
            </w:r>
          </w:p>
          <w:p w14:paraId="6AA88D4D" w14:textId="77777777" w:rsidR="009603C9" w:rsidRPr="00D14A30" w:rsidRDefault="009603C9">
            <w:pPr>
              <w:numPr>
                <w:ilvl w:val="0"/>
                <w:numId w:val="3"/>
              </w:numPr>
              <w:shd w:val="clear" w:color="auto" w:fill="FFFFFF"/>
              <w:tabs>
                <w:tab w:val="left" w:pos="0"/>
                <w:tab w:val="num" w:pos="426"/>
              </w:tabs>
              <w:spacing w:after="100" w:afterAutospacing="1"/>
              <w:ind w:left="426" w:hanging="426"/>
              <w:contextualSpacing/>
              <w:jc w:val="both"/>
              <w:rPr>
                <w:rFonts w:eastAsia="Calibri" w:cs="Arial"/>
                <w:lang w:val="es-CO" w:eastAsia="en-US"/>
              </w:rPr>
            </w:pPr>
            <w:r w:rsidRPr="00D14A30">
              <w:rPr>
                <w:rFonts w:eastAsia="Calibri" w:cs="Arial"/>
                <w:lang w:val="es-CO" w:eastAsia="en-US"/>
              </w:rPr>
              <w:t xml:space="preserve">Que los derechos objeto de protección son: La </w:t>
            </w:r>
            <w:r w:rsidRPr="00D14A30">
              <w:rPr>
                <w:rFonts w:cs="Arial"/>
                <w:lang w:val="es-CO" w:eastAsia="es-CO"/>
              </w:rPr>
              <w:t>vida, la integridad, la seguridad y la libertad.</w:t>
            </w:r>
          </w:p>
          <w:p w14:paraId="5F41A98C" w14:textId="77777777" w:rsidR="009603C9" w:rsidRPr="00D14A30" w:rsidRDefault="009603C9">
            <w:pPr>
              <w:numPr>
                <w:ilvl w:val="0"/>
                <w:numId w:val="3"/>
              </w:numPr>
              <w:shd w:val="clear" w:color="auto" w:fill="FFFFFF"/>
              <w:tabs>
                <w:tab w:val="left" w:pos="0"/>
                <w:tab w:val="num" w:pos="426"/>
              </w:tabs>
              <w:spacing w:after="100" w:afterAutospacing="1"/>
              <w:ind w:left="426" w:hanging="426"/>
              <w:contextualSpacing/>
              <w:jc w:val="both"/>
              <w:rPr>
                <w:rFonts w:eastAsia="Calibri" w:cs="Arial"/>
                <w:lang w:val="es-CO" w:eastAsia="en-US"/>
              </w:rPr>
            </w:pPr>
            <w:r w:rsidRPr="00D14A30">
              <w:rPr>
                <w:rFonts w:eastAsia="Calibri" w:cs="Arial"/>
                <w:lang w:val="es-CO" w:eastAsia="en-US"/>
              </w:rPr>
              <w:t xml:space="preserve">Que las causas que originan el riesgo estén </w:t>
            </w:r>
            <w:r w:rsidRPr="00D14A30">
              <w:rPr>
                <w:rFonts w:cs="Arial"/>
                <w:lang w:val="es-CO" w:eastAsia="es-CO"/>
              </w:rPr>
              <w:t>relacionadas con la violencia política o ideológica, o con el conflicto armado</w:t>
            </w:r>
            <w:r w:rsidR="00FF5117" w:rsidRPr="00D14A30">
              <w:rPr>
                <w:rFonts w:cs="Arial"/>
                <w:lang w:val="es-CO" w:eastAsia="es-CO"/>
              </w:rPr>
              <w:t>.</w:t>
            </w:r>
          </w:p>
          <w:p w14:paraId="7512533F" w14:textId="77777777" w:rsidR="009603C9" w:rsidRPr="00D14A30" w:rsidRDefault="009603C9">
            <w:pPr>
              <w:numPr>
                <w:ilvl w:val="0"/>
                <w:numId w:val="3"/>
              </w:numPr>
              <w:shd w:val="clear" w:color="auto" w:fill="FFFFFF"/>
              <w:tabs>
                <w:tab w:val="left" w:pos="0"/>
                <w:tab w:val="num" w:pos="426"/>
              </w:tabs>
              <w:spacing w:before="100" w:beforeAutospacing="1" w:after="100" w:afterAutospacing="1"/>
              <w:ind w:left="426" w:hanging="426"/>
              <w:contextualSpacing/>
              <w:jc w:val="both"/>
              <w:rPr>
                <w:rFonts w:eastAsia="Calibri" w:cs="Arial"/>
                <w:lang w:val="es-CO" w:eastAsia="en-US"/>
              </w:rPr>
            </w:pPr>
            <w:r w:rsidRPr="00D14A30">
              <w:rPr>
                <w:rFonts w:eastAsia="Calibri" w:cs="Arial"/>
                <w:lang w:val="es-CO" w:eastAsia="en-US"/>
              </w:rPr>
              <w:t>Que este enmarcada dentro de las categorías poblacionales</w:t>
            </w:r>
            <w:r w:rsidR="00FF5117" w:rsidRPr="00D14A30">
              <w:rPr>
                <w:rFonts w:eastAsia="Calibri" w:cs="Arial"/>
                <w:lang w:val="es-CO" w:eastAsia="en-US"/>
              </w:rPr>
              <w:t>.</w:t>
            </w:r>
          </w:p>
          <w:p w14:paraId="5B108D99" w14:textId="77777777" w:rsidR="009603C9" w:rsidRPr="00D14A30" w:rsidRDefault="009603C9">
            <w:pPr>
              <w:numPr>
                <w:ilvl w:val="0"/>
                <w:numId w:val="3"/>
              </w:numPr>
              <w:shd w:val="clear" w:color="auto" w:fill="FFFFFF"/>
              <w:tabs>
                <w:tab w:val="left" w:pos="0"/>
                <w:tab w:val="num" w:pos="426"/>
              </w:tabs>
              <w:spacing w:after="100" w:afterAutospacing="1"/>
              <w:ind w:left="426" w:hanging="426"/>
              <w:contextualSpacing/>
              <w:jc w:val="both"/>
              <w:rPr>
                <w:rFonts w:eastAsia="Calibri" w:cs="Arial"/>
                <w:lang w:val="es-CO" w:eastAsia="en-US"/>
              </w:rPr>
            </w:pPr>
            <w:r w:rsidRPr="00D14A30">
              <w:rPr>
                <w:rFonts w:eastAsia="Calibri" w:cs="Arial"/>
                <w:lang w:val="es-CO" w:eastAsia="en-US"/>
              </w:rPr>
              <w:t xml:space="preserve">Que los interesados en ser </w:t>
            </w:r>
            <w:r w:rsidRPr="00D14A30">
              <w:rPr>
                <w:rFonts w:cs="Arial"/>
                <w:lang w:val="es-CO" w:eastAsia="es-CO"/>
              </w:rPr>
              <w:t>acogidos deben demostrar la conexidad directa entre la amenaza y el cargo, o la actividad que ejerce dentro de la organización.</w:t>
            </w:r>
            <w:r w:rsidRPr="00D14A30">
              <w:rPr>
                <w:rFonts w:eastAsia="Calibri" w:cs="Arial"/>
                <w:lang w:val="es-CO" w:eastAsia="en-US"/>
              </w:rPr>
              <w:t xml:space="preserve"> </w:t>
            </w:r>
          </w:p>
          <w:p w14:paraId="25150E36" w14:textId="255F6408" w:rsidR="009603C9" w:rsidRDefault="009603C9">
            <w:pPr>
              <w:numPr>
                <w:ilvl w:val="0"/>
                <w:numId w:val="3"/>
              </w:numPr>
              <w:shd w:val="clear" w:color="auto" w:fill="FFFFFF"/>
              <w:tabs>
                <w:tab w:val="left" w:pos="0"/>
                <w:tab w:val="num" w:pos="426"/>
              </w:tabs>
              <w:spacing w:before="100" w:beforeAutospacing="1" w:after="100" w:afterAutospacing="1"/>
              <w:ind w:left="426" w:hanging="426"/>
              <w:contextualSpacing/>
              <w:jc w:val="both"/>
              <w:rPr>
                <w:rFonts w:cs="Arial"/>
                <w:lang w:val="es-CO" w:eastAsia="es-CO"/>
              </w:rPr>
            </w:pPr>
            <w:r w:rsidRPr="00D14A30">
              <w:rPr>
                <w:rFonts w:eastAsia="Calibri" w:cs="Arial"/>
                <w:lang w:val="es-CO" w:eastAsia="en-US"/>
              </w:rPr>
              <w:t>Por último, determina que l</w:t>
            </w:r>
            <w:r w:rsidRPr="00D14A30">
              <w:rPr>
                <w:rFonts w:cs="Arial"/>
                <w:lang w:val="es-CO" w:eastAsia="es-CO"/>
              </w:rPr>
              <w:t>as medidas de protección son temporales y sujetas a revisión periódica.</w:t>
            </w:r>
          </w:p>
          <w:p w14:paraId="578D4399" w14:textId="6167235D" w:rsidR="005D6213" w:rsidRDefault="005D6213" w:rsidP="005D6213">
            <w:pPr>
              <w:shd w:val="clear" w:color="auto" w:fill="FFFFFF"/>
              <w:tabs>
                <w:tab w:val="left" w:pos="0"/>
              </w:tabs>
              <w:spacing w:before="100" w:beforeAutospacing="1" w:after="100" w:afterAutospacing="1"/>
              <w:contextualSpacing/>
              <w:jc w:val="both"/>
              <w:rPr>
                <w:rFonts w:cs="Arial"/>
                <w:lang w:val="es-CO" w:eastAsia="es-CO"/>
              </w:rPr>
            </w:pPr>
          </w:p>
          <w:p w14:paraId="50D540D2" w14:textId="77777777" w:rsidR="005D6213" w:rsidRPr="005D6213" w:rsidRDefault="005D6213" w:rsidP="005D6213">
            <w:pPr>
              <w:shd w:val="clear" w:color="auto" w:fill="FFFFFF"/>
              <w:tabs>
                <w:tab w:val="left" w:pos="0"/>
              </w:tabs>
              <w:spacing w:before="100" w:beforeAutospacing="1" w:after="100" w:afterAutospacing="1"/>
              <w:contextualSpacing/>
              <w:jc w:val="both"/>
              <w:rPr>
                <w:rFonts w:cs="Arial"/>
                <w:lang w:val="es-CO" w:eastAsia="es-CO"/>
              </w:rPr>
            </w:pPr>
            <w:r w:rsidRPr="005D6213">
              <w:rPr>
                <w:rFonts w:cs="Arial"/>
                <w:lang w:val="es-CO" w:eastAsia="es-CO"/>
              </w:rPr>
              <w:t xml:space="preserve">Es importante resaltar lo dispuesto en el artículo 2 de la Ley 418 de 1997, para tener de presente a la hora de interpretar la precitada Ley, así: </w:t>
            </w:r>
          </w:p>
          <w:p w14:paraId="2024A995" w14:textId="77777777" w:rsidR="005D6213" w:rsidRPr="005D6213" w:rsidRDefault="005D6213" w:rsidP="005D6213">
            <w:pPr>
              <w:shd w:val="clear" w:color="auto" w:fill="FFFFFF"/>
              <w:tabs>
                <w:tab w:val="left" w:pos="0"/>
              </w:tabs>
              <w:spacing w:before="100" w:beforeAutospacing="1" w:after="100" w:afterAutospacing="1"/>
              <w:contextualSpacing/>
              <w:jc w:val="both"/>
              <w:rPr>
                <w:rFonts w:cs="Arial"/>
                <w:lang w:val="es-CO" w:eastAsia="es-CO"/>
              </w:rPr>
            </w:pPr>
          </w:p>
          <w:p w14:paraId="398A852F" w14:textId="77777777" w:rsidR="005D6213" w:rsidRPr="005D6213" w:rsidRDefault="005D6213" w:rsidP="005D6213">
            <w:pPr>
              <w:shd w:val="clear" w:color="auto" w:fill="FFFFFF"/>
              <w:tabs>
                <w:tab w:val="left" w:pos="0"/>
              </w:tabs>
              <w:spacing w:before="100" w:beforeAutospacing="1" w:after="100" w:afterAutospacing="1"/>
              <w:contextualSpacing/>
              <w:jc w:val="both"/>
              <w:rPr>
                <w:rFonts w:cs="Arial"/>
                <w:i/>
                <w:iCs/>
                <w:lang w:val="es-CO" w:eastAsia="es-CO"/>
              </w:rPr>
            </w:pPr>
            <w:r w:rsidRPr="005D6213">
              <w:rPr>
                <w:rFonts w:cs="Arial"/>
                <w:i/>
                <w:iCs/>
                <w:lang w:val="es-CO" w:eastAsia="es-CO"/>
              </w:rPr>
              <w:t>“ARTÍCULO 2o. En la aplicación de las atribuciones conferidas en la presente ley, se seguirán los criterios de proporcionalidad y necesariedad, mientras que para la determinación de su contenido y alcance, el intérprete deberá estarse al tenor literal según el sentido natural y obvio de las palabras, sin que so pretexto de desentrañar su espíritu, puedan usarse facultades no conferidas de manera expresa.</w:t>
            </w:r>
          </w:p>
          <w:p w14:paraId="12241D91" w14:textId="77777777" w:rsidR="005D6213" w:rsidRPr="005D6213" w:rsidRDefault="005D6213" w:rsidP="005D6213">
            <w:pPr>
              <w:shd w:val="clear" w:color="auto" w:fill="FFFFFF"/>
              <w:tabs>
                <w:tab w:val="left" w:pos="0"/>
              </w:tabs>
              <w:spacing w:before="100" w:beforeAutospacing="1" w:after="100" w:afterAutospacing="1"/>
              <w:contextualSpacing/>
              <w:jc w:val="both"/>
              <w:rPr>
                <w:rFonts w:cs="Arial"/>
                <w:i/>
                <w:iCs/>
                <w:lang w:val="es-CO" w:eastAsia="es-CO"/>
              </w:rPr>
            </w:pPr>
          </w:p>
          <w:p w14:paraId="0E8EEDB7" w14:textId="77777777" w:rsidR="005D6213" w:rsidRPr="005D6213" w:rsidRDefault="005D6213" w:rsidP="005D6213">
            <w:pPr>
              <w:shd w:val="clear" w:color="auto" w:fill="FFFFFF"/>
              <w:tabs>
                <w:tab w:val="left" w:pos="0"/>
              </w:tabs>
              <w:spacing w:before="100" w:beforeAutospacing="1" w:after="100" w:afterAutospacing="1"/>
              <w:contextualSpacing/>
              <w:jc w:val="both"/>
              <w:rPr>
                <w:rFonts w:cs="Arial"/>
                <w:i/>
                <w:iCs/>
                <w:lang w:val="es-CO" w:eastAsia="es-CO"/>
              </w:rPr>
            </w:pPr>
            <w:r w:rsidRPr="005D6213">
              <w:rPr>
                <w:rFonts w:cs="Arial"/>
                <w:i/>
                <w:iCs/>
                <w:lang w:val="es-CO" w:eastAsia="es-CO"/>
              </w:rPr>
              <w:t>En el ejercicio de las mismas facultades no podrá menoscabarse el núcleo esencial de los derechos fundamentales, ni alterar la distribución de competencias establecidas en la Constitución y las Leyes y en su aplicación se tendrá siempre en cuenta el propósito del logro de la convivencia pacífica.”</w:t>
            </w:r>
          </w:p>
          <w:p w14:paraId="4368B3B4" w14:textId="77777777" w:rsidR="00D14A30" w:rsidRPr="00D14A30" w:rsidRDefault="00D14A30" w:rsidP="00D14A30">
            <w:pPr>
              <w:shd w:val="clear" w:color="auto" w:fill="FFFFFF"/>
              <w:tabs>
                <w:tab w:val="left" w:pos="0"/>
              </w:tabs>
              <w:spacing w:before="100" w:beforeAutospacing="1" w:after="100" w:afterAutospacing="1"/>
              <w:ind w:left="426"/>
              <w:contextualSpacing/>
              <w:jc w:val="both"/>
              <w:rPr>
                <w:rFonts w:cs="Arial"/>
                <w:lang w:val="es-CO" w:eastAsia="es-CO"/>
              </w:rPr>
            </w:pPr>
          </w:p>
          <w:p w14:paraId="7A9DA4D9" w14:textId="02B6313E" w:rsidR="00AE2085" w:rsidRDefault="009603C9" w:rsidP="009603C9">
            <w:pPr>
              <w:shd w:val="clear" w:color="auto" w:fill="FFFFFF"/>
              <w:tabs>
                <w:tab w:val="left" w:pos="0"/>
              </w:tabs>
              <w:spacing w:after="100" w:afterAutospacing="1"/>
              <w:contextualSpacing/>
              <w:jc w:val="both"/>
              <w:rPr>
                <w:rFonts w:eastAsia="Calibri" w:cs="Arial"/>
                <w:lang w:val="es-CO" w:eastAsia="en-US"/>
              </w:rPr>
            </w:pPr>
            <w:r w:rsidRPr="00D14A30">
              <w:rPr>
                <w:rFonts w:eastAsia="Calibri" w:cs="Arial"/>
                <w:lang w:val="es-CO" w:eastAsia="en-US"/>
              </w:rPr>
              <w:t xml:space="preserve">En cumplimiento de este mandato, el Gobierno Nacional expide las normas con las que reglamenta la precitada Ley, diseñando el programa de protección, inicialmente con la expedición de los Decretos 2816 de 2006 y 1740 de 2010, sustituidos </w:t>
            </w:r>
            <w:r w:rsidR="000A52D2">
              <w:rPr>
                <w:rFonts w:eastAsia="Calibri" w:cs="Arial"/>
                <w:lang w:val="es-CO" w:eastAsia="en-US"/>
              </w:rPr>
              <w:t>por</w:t>
            </w:r>
            <w:r w:rsidRPr="00D14A30">
              <w:rPr>
                <w:rFonts w:eastAsia="Calibri" w:cs="Arial"/>
                <w:lang w:val="es-CO" w:eastAsia="en-US"/>
              </w:rPr>
              <w:t xml:space="preserve"> el Decreto 4912 de 2011 modificado y adicionado por el 1225 de 2012, </w:t>
            </w:r>
            <w:r w:rsidR="00E974DB">
              <w:rPr>
                <w:rFonts w:eastAsia="Calibri" w:cs="Arial"/>
                <w:lang w:val="es-CO" w:eastAsia="en-US"/>
              </w:rPr>
              <w:t xml:space="preserve">decreto que </w:t>
            </w:r>
            <w:r w:rsidR="00AE2085" w:rsidRPr="00302AD6">
              <w:rPr>
                <w:rFonts w:eastAsia="Calibri" w:cs="Arial"/>
                <w:lang w:val="es-CO" w:eastAsia="en-US"/>
              </w:rPr>
              <w:t>organizó el Programa de Prevención y Protección de los derechos a la vida, la libertad, la integridad y la seguridad de personas grupos y comunidades que se encuentran en situación de riesgo extraordinario o extremo como consecuencia directa del ejercicio de sus actividades o funciones políticas, públicas, sociales o humanitarias, o en razón del ejercicio de su cargo.</w:t>
            </w:r>
            <w:r w:rsidR="00AE2085">
              <w:rPr>
                <w:rFonts w:eastAsia="Calibri" w:cs="Arial"/>
                <w:lang w:val="es-CO" w:eastAsia="en-US"/>
              </w:rPr>
              <w:t xml:space="preserve"> </w:t>
            </w:r>
          </w:p>
          <w:p w14:paraId="3C6C4B44" w14:textId="77777777" w:rsidR="00AE2085" w:rsidRDefault="00AE2085" w:rsidP="009603C9">
            <w:pPr>
              <w:shd w:val="clear" w:color="auto" w:fill="FFFFFF"/>
              <w:tabs>
                <w:tab w:val="left" w:pos="0"/>
              </w:tabs>
              <w:spacing w:after="100" w:afterAutospacing="1"/>
              <w:contextualSpacing/>
              <w:jc w:val="both"/>
              <w:rPr>
                <w:rFonts w:eastAsia="Calibri" w:cs="Arial"/>
                <w:lang w:val="es-CO" w:eastAsia="en-US"/>
              </w:rPr>
            </w:pPr>
          </w:p>
          <w:p w14:paraId="23D1B98E" w14:textId="5DD61C32" w:rsidR="009603C9" w:rsidRPr="00D14A30" w:rsidRDefault="00337397" w:rsidP="009603C9">
            <w:pPr>
              <w:shd w:val="clear" w:color="auto" w:fill="FFFFFF"/>
              <w:tabs>
                <w:tab w:val="left" w:pos="0"/>
              </w:tabs>
              <w:spacing w:after="100" w:afterAutospacing="1"/>
              <w:contextualSpacing/>
              <w:jc w:val="both"/>
              <w:rPr>
                <w:rFonts w:eastAsia="Calibri" w:cs="Arial"/>
                <w:lang w:val="es-CO" w:eastAsia="en-US"/>
              </w:rPr>
            </w:pPr>
            <w:r>
              <w:rPr>
                <w:rFonts w:eastAsia="Calibri" w:cs="Arial"/>
                <w:lang w:val="es-CO" w:eastAsia="en-US"/>
              </w:rPr>
              <w:t xml:space="preserve">En este sentido, </w:t>
            </w:r>
            <w:r w:rsidR="009603C9" w:rsidRPr="00D14A30">
              <w:rPr>
                <w:rFonts w:eastAsia="Calibri" w:cs="Arial"/>
                <w:lang w:val="es-CO" w:eastAsia="en-US"/>
              </w:rPr>
              <w:t xml:space="preserve">el Decreto 4912 de 2011 </w:t>
            </w:r>
            <w:r>
              <w:rPr>
                <w:rFonts w:eastAsia="Calibri" w:cs="Arial"/>
                <w:lang w:val="es-CO" w:eastAsia="en-US"/>
              </w:rPr>
              <w:t>determina</w:t>
            </w:r>
            <w:r w:rsidR="009603C9" w:rsidRPr="00D14A30">
              <w:rPr>
                <w:rFonts w:eastAsia="Calibri" w:cs="Arial"/>
                <w:lang w:val="es-CO" w:eastAsia="en-US"/>
              </w:rPr>
              <w:t xml:space="preserve"> </w:t>
            </w:r>
            <w:r>
              <w:rPr>
                <w:rFonts w:eastAsia="Calibri" w:cs="Arial"/>
                <w:lang w:val="es-CO" w:eastAsia="en-US"/>
              </w:rPr>
              <w:t xml:space="preserve">dos (2) poblaciones objeto del programa de </w:t>
            </w:r>
            <w:r w:rsidR="00AE2085">
              <w:rPr>
                <w:rFonts w:eastAsia="Calibri" w:cs="Arial"/>
                <w:lang w:val="es-CO" w:eastAsia="en-US"/>
              </w:rPr>
              <w:t>prevención y protección</w:t>
            </w:r>
            <w:r>
              <w:rPr>
                <w:rFonts w:eastAsia="Calibri" w:cs="Arial"/>
                <w:lang w:val="es-CO" w:eastAsia="en-US"/>
              </w:rPr>
              <w:t xml:space="preserve">; </w:t>
            </w:r>
            <w:r w:rsidR="009603C9" w:rsidRPr="00D14A30">
              <w:rPr>
                <w:rFonts w:eastAsia="Calibri" w:cs="Arial"/>
                <w:lang w:val="es-CO" w:eastAsia="en-US"/>
              </w:rPr>
              <w:t>una la del artículo 6 “</w:t>
            </w:r>
            <w:r w:rsidR="009603C9" w:rsidRPr="00D14A30">
              <w:rPr>
                <w:rFonts w:eastAsia="Calibri" w:cs="Arial"/>
                <w:i/>
                <w:iCs/>
                <w:lang w:val="es-CO" w:eastAsia="en-US"/>
              </w:rPr>
              <w:t xml:space="preserve">Protección de personas en situación de riesgo extraordinario o extremo”, </w:t>
            </w:r>
            <w:r w:rsidR="009603C9" w:rsidRPr="00337397">
              <w:rPr>
                <w:rFonts w:eastAsia="Calibri" w:cs="Arial"/>
                <w:lang w:val="es-CO" w:eastAsia="en-US"/>
              </w:rPr>
              <w:t>que son las poblaciones objeto de protección en el marco de la Ley 418 de 1997</w:t>
            </w:r>
            <w:r w:rsidR="009603C9" w:rsidRPr="00D14A30">
              <w:rPr>
                <w:rFonts w:eastAsia="Calibri" w:cs="Arial"/>
                <w:i/>
                <w:iCs/>
                <w:lang w:val="es-CO" w:eastAsia="en-US"/>
              </w:rPr>
              <w:t xml:space="preserve">; </w:t>
            </w:r>
            <w:r w:rsidR="009603C9" w:rsidRPr="00D14A30">
              <w:rPr>
                <w:rFonts w:eastAsia="Calibri" w:cs="Arial"/>
                <w:lang w:val="es-CO" w:eastAsia="en-US"/>
              </w:rPr>
              <w:t>y la</w:t>
            </w:r>
            <w:r>
              <w:rPr>
                <w:rFonts w:eastAsia="Calibri" w:cs="Arial"/>
                <w:lang w:val="es-CO" w:eastAsia="en-US"/>
              </w:rPr>
              <w:t xml:space="preserve"> segunda</w:t>
            </w:r>
            <w:r w:rsidR="009603C9" w:rsidRPr="00D14A30">
              <w:rPr>
                <w:rFonts w:eastAsia="Calibri" w:cs="Arial"/>
                <w:lang w:val="es-CO" w:eastAsia="en-US"/>
              </w:rPr>
              <w:t xml:space="preserve"> </w:t>
            </w:r>
            <w:r>
              <w:rPr>
                <w:rFonts w:eastAsia="Calibri" w:cs="Arial"/>
                <w:lang w:val="es-CO" w:eastAsia="en-US"/>
              </w:rPr>
              <w:t xml:space="preserve">la </w:t>
            </w:r>
            <w:r w:rsidR="009603C9" w:rsidRPr="00D14A30">
              <w:rPr>
                <w:rFonts w:eastAsia="Calibri" w:cs="Arial"/>
                <w:lang w:val="es-CO" w:eastAsia="en-US"/>
              </w:rPr>
              <w:t>del artículo 7</w:t>
            </w:r>
            <w:r w:rsidR="009603C9" w:rsidRPr="00D14A30">
              <w:rPr>
                <w:rFonts w:eastAsia="Calibri" w:cs="Arial"/>
                <w:i/>
                <w:iCs/>
                <w:lang w:val="es-CO" w:eastAsia="en-US"/>
              </w:rPr>
              <w:t xml:space="preserve"> “Protección de personas en virtud del cargo”,</w:t>
            </w:r>
            <w:r>
              <w:rPr>
                <w:rFonts w:eastAsia="Calibri" w:cs="Arial"/>
                <w:i/>
                <w:iCs/>
                <w:lang w:val="es-CO" w:eastAsia="en-US"/>
              </w:rPr>
              <w:t xml:space="preserve"> </w:t>
            </w:r>
            <w:r>
              <w:rPr>
                <w:rFonts w:eastAsia="Calibri" w:cs="Arial"/>
                <w:lang w:val="es-CO" w:eastAsia="en-US"/>
              </w:rPr>
              <w:t xml:space="preserve"> estas últimas </w:t>
            </w:r>
            <w:r w:rsidR="009603C9" w:rsidRPr="00D14A30">
              <w:rPr>
                <w:rFonts w:eastAsia="Calibri" w:cs="Arial"/>
                <w:lang w:val="es-CO" w:eastAsia="en-US"/>
              </w:rPr>
              <w:t>que corresponde a las que estaban a cargo del suprimido Departamento Administrativo de Seguridad - DAS, es decir, a los altos servidores del Estado</w:t>
            </w:r>
            <w:r w:rsidR="00FF5117" w:rsidRPr="00D14A30">
              <w:rPr>
                <w:rFonts w:eastAsia="Calibri" w:cs="Arial"/>
                <w:lang w:val="es-CO" w:eastAsia="en-US"/>
              </w:rPr>
              <w:t>,</w:t>
            </w:r>
            <w:r w:rsidR="009603C9" w:rsidRPr="00D14A30">
              <w:rPr>
                <w:rFonts w:eastAsia="Calibri" w:cs="Arial"/>
                <w:lang w:val="es-CO" w:eastAsia="en-US"/>
              </w:rPr>
              <w:t xml:space="preserve"> como </w:t>
            </w:r>
            <w:r w:rsidR="00BF6E58" w:rsidRPr="00D14A30">
              <w:rPr>
                <w:rFonts w:eastAsia="Calibri" w:cs="Arial"/>
                <w:lang w:val="es-CO" w:eastAsia="en-US"/>
              </w:rPr>
              <w:t xml:space="preserve">es el caso del </w:t>
            </w:r>
            <w:r w:rsidRPr="00D14A30">
              <w:rPr>
                <w:rFonts w:eastAsia="Calibri" w:cs="Arial"/>
                <w:lang w:val="es-CO" w:eastAsia="en-US"/>
              </w:rPr>
              <w:t xml:space="preserve">Presidente </w:t>
            </w:r>
            <w:r w:rsidR="009603C9" w:rsidRPr="00D14A30">
              <w:rPr>
                <w:rFonts w:eastAsia="Calibri" w:cs="Arial"/>
                <w:lang w:val="es-CO" w:eastAsia="en-US"/>
              </w:rPr>
              <w:t>de la República, los Magistrados de los altos Tribunales, los Congresistas</w:t>
            </w:r>
            <w:r>
              <w:rPr>
                <w:rFonts w:eastAsia="Calibri" w:cs="Arial"/>
                <w:lang w:val="es-CO" w:eastAsia="en-US"/>
              </w:rPr>
              <w:t>, entre otros</w:t>
            </w:r>
            <w:r w:rsidR="009603C9" w:rsidRPr="00D14A30">
              <w:rPr>
                <w:rFonts w:eastAsia="Calibri" w:cs="Arial"/>
                <w:lang w:val="es-CO" w:eastAsia="en-US"/>
              </w:rPr>
              <w:t>.</w:t>
            </w:r>
          </w:p>
          <w:p w14:paraId="732C3706" w14:textId="77777777" w:rsidR="00D14A30" w:rsidRPr="00D14A30" w:rsidRDefault="00D14A30" w:rsidP="009603C9">
            <w:pPr>
              <w:shd w:val="clear" w:color="auto" w:fill="FFFFFF"/>
              <w:tabs>
                <w:tab w:val="left" w:pos="0"/>
              </w:tabs>
              <w:spacing w:after="100" w:afterAutospacing="1"/>
              <w:contextualSpacing/>
              <w:jc w:val="both"/>
              <w:rPr>
                <w:rFonts w:eastAsia="Calibri" w:cs="Arial"/>
                <w:i/>
                <w:iCs/>
                <w:lang w:val="es-CO" w:eastAsia="en-US"/>
              </w:rPr>
            </w:pPr>
          </w:p>
          <w:p w14:paraId="3FC84305" w14:textId="315F23A5" w:rsidR="009603C9" w:rsidRDefault="00337397" w:rsidP="009603C9">
            <w:pPr>
              <w:shd w:val="clear" w:color="auto" w:fill="FFFFFF"/>
              <w:spacing w:before="100" w:beforeAutospacing="1" w:after="100" w:afterAutospacing="1"/>
              <w:contextualSpacing/>
              <w:jc w:val="both"/>
              <w:rPr>
                <w:rFonts w:eastAsia="Calibri" w:cs="Arial"/>
                <w:lang w:val="es-CO" w:eastAsia="en-US"/>
              </w:rPr>
            </w:pPr>
            <w:r>
              <w:rPr>
                <w:rFonts w:eastAsia="Calibri" w:cs="Arial"/>
                <w:lang w:val="es-CO" w:eastAsia="en-US"/>
              </w:rPr>
              <w:lastRenderedPageBreak/>
              <w:t>Posteriormente</w:t>
            </w:r>
            <w:r w:rsidR="009603C9" w:rsidRPr="00D14A30">
              <w:rPr>
                <w:rFonts w:eastAsia="Calibri" w:cs="Arial"/>
                <w:lang w:val="es-CO" w:eastAsia="en-US"/>
              </w:rPr>
              <w:t>, se expide el Decreto 1066 de 2015</w:t>
            </w:r>
            <w:r w:rsidR="009603C9" w:rsidRPr="00D14A30">
              <w:rPr>
                <w:rFonts w:eastAsia="Calibri" w:cs="Arial"/>
                <w:i/>
                <w:iCs/>
                <w:lang w:val="es-CO" w:eastAsia="en-US"/>
              </w:rPr>
              <w:t xml:space="preserve"> </w:t>
            </w:r>
            <w:r w:rsidR="009603C9" w:rsidRPr="00D14A30">
              <w:rPr>
                <w:rFonts w:cs="Arial"/>
                <w:shd w:val="clear" w:color="auto" w:fill="FFFFFF"/>
                <w:lang w:val="es-CO" w:eastAsia="es-CO"/>
              </w:rPr>
              <w:t>Único Reglamentario del Sector Administrativo del Interior, con el cual se compilan las normas de este sector, entre ellas el Decreto 4912 de 2011,</w:t>
            </w:r>
            <w:r w:rsidR="00EE375A">
              <w:rPr>
                <w:rFonts w:cs="Arial"/>
                <w:shd w:val="clear" w:color="auto" w:fill="FFFFFF"/>
                <w:lang w:val="es-CO" w:eastAsia="es-CO"/>
              </w:rPr>
              <w:t xml:space="preserve"> </w:t>
            </w:r>
            <w:r w:rsidR="00EE375A" w:rsidRPr="00EE375A">
              <w:rPr>
                <w:rStyle w:val="nfasis"/>
                <w:rFonts w:cs="Arial"/>
                <w:i w:val="0"/>
                <w:iCs w:val="0"/>
                <w:color w:val="000000"/>
              </w:rPr>
              <w:t>Decreto 2096 de 2012</w:t>
            </w:r>
            <w:r w:rsidR="009603C9" w:rsidRPr="00D14A30">
              <w:rPr>
                <w:rFonts w:cs="Arial"/>
                <w:shd w:val="clear" w:color="auto" w:fill="FFFFFF"/>
                <w:lang w:val="es-CO" w:eastAsia="es-CO"/>
              </w:rPr>
              <w:t xml:space="preserve"> en el T</w:t>
            </w:r>
            <w:r w:rsidR="00EE375A">
              <w:rPr>
                <w:rFonts w:cs="Arial"/>
                <w:shd w:val="clear" w:color="auto" w:fill="FFFFFF"/>
                <w:lang w:val="es-CO" w:eastAsia="es-CO"/>
              </w:rPr>
              <w:t>í</w:t>
            </w:r>
            <w:r w:rsidR="009603C9" w:rsidRPr="00D14A30">
              <w:rPr>
                <w:rFonts w:cs="Arial"/>
                <w:shd w:val="clear" w:color="auto" w:fill="FFFFFF"/>
                <w:lang w:val="es-CO" w:eastAsia="es-CO"/>
              </w:rPr>
              <w:t xml:space="preserve">tulo 1 de la </w:t>
            </w:r>
            <w:r w:rsidR="004376C6" w:rsidRPr="00D14A30">
              <w:rPr>
                <w:rFonts w:cs="Arial"/>
                <w:shd w:val="clear" w:color="auto" w:fill="FFFFFF"/>
                <w:lang w:val="es-CO" w:eastAsia="es-CO"/>
              </w:rPr>
              <w:t xml:space="preserve">Parte </w:t>
            </w:r>
            <w:r w:rsidR="009603C9" w:rsidRPr="00D14A30">
              <w:rPr>
                <w:rFonts w:cs="Arial"/>
                <w:shd w:val="clear" w:color="auto" w:fill="FFFFFF"/>
                <w:lang w:val="es-CO" w:eastAsia="es-CO"/>
              </w:rPr>
              <w:t xml:space="preserve">4 del </w:t>
            </w:r>
            <w:r w:rsidR="004376C6" w:rsidRPr="00D14A30">
              <w:rPr>
                <w:rFonts w:cs="Arial"/>
                <w:shd w:val="clear" w:color="auto" w:fill="FFFFFF"/>
                <w:lang w:val="es-CO" w:eastAsia="es-CO"/>
              </w:rPr>
              <w:t xml:space="preserve">Libro </w:t>
            </w:r>
            <w:r w:rsidR="009603C9" w:rsidRPr="00D14A30">
              <w:rPr>
                <w:rFonts w:cs="Arial"/>
                <w:shd w:val="clear" w:color="auto" w:fill="FFFFFF"/>
                <w:lang w:val="es-CO" w:eastAsia="es-CO"/>
              </w:rPr>
              <w:t>2., T</w:t>
            </w:r>
            <w:r w:rsidR="00EE375A">
              <w:rPr>
                <w:rFonts w:cs="Arial"/>
                <w:shd w:val="clear" w:color="auto" w:fill="FFFFFF"/>
                <w:lang w:val="es-CO" w:eastAsia="es-CO"/>
              </w:rPr>
              <w:t>í</w:t>
            </w:r>
            <w:r w:rsidR="009603C9" w:rsidRPr="00D14A30">
              <w:rPr>
                <w:rFonts w:cs="Arial"/>
                <w:shd w:val="clear" w:color="auto" w:fill="FFFFFF"/>
                <w:lang w:val="es-CO" w:eastAsia="es-CO"/>
              </w:rPr>
              <w:t xml:space="preserve">tulo que a su vez ha sido modificado y adicionado por los Decretos </w:t>
            </w:r>
            <w:r w:rsidR="009603C9" w:rsidRPr="00D14A30">
              <w:rPr>
                <w:rFonts w:eastAsia="Calibri" w:cs="Arial"/>
                <w:lang w:val="es-CO" w:eastAsia="en-US"/>
              </w:rPr>
              <w:t xml:space="preserve">567 de 2016, Decreto 299 de 2017, </w:t>
            </w:r>
            <w:r w:rsidR="009603C9" w:rsidRPr="00D14A30">
              <w:rPr>
                <w:rFonts w:eastAsia="Calibri" w:cs="Arial"/>
                <w:lang w:val="es-CO" w:eastAsia="es-CO"/>
              </w:rPr>
              <w:t xml:space="preserve">Decreto 1581 de 2017, </w:t>
            </w:r>
            <w:r w:rsidR="009603C9" w:rsidRPr="00D14A30">
              <w:rPr>
                <w:rFonts w:eastAsia="Calibri" w:cs="Arial"/>
                <w:lang w:val="es-CO" w:eastAsia="en-US"/>
              </w:rPr>
              <w:t>Decreto 2078 de 2017, Decreto 2252 de 2017, Decreto 660 de 2018, Decreto 1487 de 2018, Decreto 1139 de 2021</w:t>
            </w:r>
            <w:r w:rsidR="00EE375A">
              <w:rPr>
                <w:rFonts w:eastAsia="Calibri" w:cs="Arial"/>
                <w:lang w:val="es-CO" w:eastAsia="en-US"/>
              </w:rPr>
              <w:t>,</w:t>
            </w:r>
            <w:r w:rsidR="009603C9" w:rsidRPr="00D14A30">
              <w:rPr>
                <w:rFonts w:eastAsia="Calibri" w:cs="Arial"/>
                <w:lang w:val="es-CO" w:eastAsia="en-US"/>
              </w:rPr>
              <w:t xml:space="preserve">  Decreto 1064 de 2022</w:t>
            </w:r>
            <w:r w:rsidR="00EE375A">
              <w:rPr>
                <w:rFonts w:eastAsia="Calibri" w:cs="Arial"/>
                <w:lang w:val="es-CO" w:eastAsia="en-US"/>
              </w:rPr>
              <w:t xml:space="preserve">, </w:t>
            </w:r>
            <w:r w:rsidR="004376C6">
              <w:rPr>
                <w:rFonts w:eastAsia="Calibri" w:cs="Arial"/>
                <w:lang w:val="es-CO" w:eastAsia="en-US"/>
              </w:rPr>
              <w:t xml:space="preserve">y otras más recientes que han pasado a integrar el mismo como son, el  </w:t>
            </w:r>
            <w:r w:rsidR="00EE375A">
              <w:rPr>
                <w:rFonts w:eastAsia="Calibri" w:cs="Arial"/>
                <w:lang w:val="es-CO" w:eastAsia="en-US"/>
              </w:rPr>
              <w:t>Decreto 1235 de 2023  y Decreto 1285 de 2023.</w:t>
            </w:r>
          </w:p>
          <w:p w14:paraId="3AB28DD1" w14:textId="77777777" w:rsidR="00EE375A" w:rsidRPr="00D14A30" w:rsidRDefault="00EE375A" w:rsidP="009603C9">
            <w:pPr>
              <w:shd w:val="clear" w:color="auto" w:fill="FFFFFF"/>
              <w:spacing w:before="100" w:beforeAutospacing="1" w:after="100" w:afterAutospacing="1"/>
              <w:contextualSpacing/>
              <w:jc w:val="both"/>
              <w:rPr>
                <w:rFonts w:eastAsia="Calibri" w:cs="Arial"/>
                <w:lang w:val="es-CO" w:eastAsia="en-US"/>
              </w:rPr>
            </w:pPr>
          </w:p>
          <w:p w14:paraId="550EDF94" w14:textId="6E537C8D" w:rsidR="00AC6388" w:rsidRPr="00D14A30" w:rsidRDefault="008B2846" w:rsidP="00AC6388">
            <w:pPr>
              <w:spacing w:before="100" w:beforeAutospacing="1" w:after="100" w:afterAutospacing="1"/>
              <w:jc w:val="both"/>
              <w:rPr>
                <w:rFonts w:cs="Arial"/>
                <w:shd w:val="clear" w:color="auto" w:fill="FFFFFF"/>
                <w:lang w:eastAsia="es-CO"/>
              </w:rPr>
            </w:pPr>
            <w:r w:rsidRPr="00D14A30">
              <w:rPr>
                <w:rFonts w:eastAsia="Calibri" w:cs="Arial"/>
                <w:lang w:val="es-CO" w:eastAsia="en-US"/>
              </w:rPr>
              <w:t xml:space="preserve">De acuerdo a como </w:t>
            </w:r>
            <w:r w:rsidR="00714462" w:rsidRPr="00D14A30">
              <w:rPr>
                <w:rFonts w:eastAsia="Calibri" w:cs="Arial"/>
                <w:lang w:val="es-CO" w:eastAsia="en-US"/>
              </w:rPr>
              <w:t xml:space="preserve">está </w:t>
            </w:r>
            <w:r w:rsidR="004376C6">
              <w:rPr>
                <w:rFonts w:eastAsia="Calibri" w:cs="Arial"/>
                <w:lang w:val="es-CO" w:eastAsia="en-US"/>
              </w:rPr>
              <w:t>diseñado</w:t>
            </w:r>
            <w:r w:rsidR="00714462" w:rsidRPr="00D14A30">
              <w:rPr>
                <w:rFonts w:eastAsia="Calibri" w:cs="Arial"/>
                <w:lang w:val="es-CO" w:eastAsia="en-US"/>
              </w:rPr>
              <w:t xml:space="preserve"> </w:t>
            </w:r>
            <w:r w:rsidR="004376C6">
              <w:rPr>
                <w:rFonts w:eastAsia="Calibri" w:cs="Arial"/>
                <w:lang w:val="es-CO" w:eastAsia="en-US"/>
              </w:rPr>
              <w:t xml:space="preserve">y reglamentado </w:t>
            </w:r>
            <w:r w:rsidR="00714462" w:rsidRPr="00D14A30">
              <w:rPr>
                <w:rFonts w:eastAsia="Calibri" w:cs="Arial"/>
                <w:lang w:val="es-CO" w:eastAsia="en-US"/>
              </w:rPr>
              <w:t xml:space="preserve">el Programa de Prevención y Protección en el Decreto 1066 de 2015, se puede colegir según </w:t>
            </w:r>
            <w:r w:rsidR="00114FAA">
              <w:rPr>
                <w:rFonts w:eastAsia="Calibri" w:cs="Arial"/>
                <w:lang w:val="es-CO" w:eastAsia="en-US"/>
              </w:rPr>
              <w:t>su</w:t>
            </w:r>
            <w:r w:rsidR="00714462" w:rsidRPr="00D14A30">
              <w:rPr>
                <w:rFonts w:eastAsia="Calibri" w:cs="Arial"/>
                <w:lang w:val="es-CO" w:eastAsia="en-US"/>
              </w:rPr>
              <w:t xml:space="preserve"> artículo 2.4.1.2.1</w:t>
            </w:r>
            <w:r w:rsidR="005D6213">
              <w:rPr>
                <w:rFonts w:eastAsia="Calibri" w:cs="Arial"/>
                <w:lang w:val="es-CO" w:eastAsia="en-US"/>
              </w:rPr>
              <w:t>,</w:t>
            </w:r>
            <w:r w:rsidR="00AC3EAB" w:rsidRPr="00D14A30">
              <w:rPr>
                <w:rFonts w:eastAsia="Calibri" w:cs="Arial"/>
                <w:lang w:val="es-CO" w:eastAsia="en-US"/>
              </w:rPr>
              <w:t xml:space="preserve"> </w:t>
            </w:r>
            <w:r w:rsidR="00714462" w:rsidRPr="00D14A30">
              <w:rPr>
                <w:rFonts w:eastAsia="Calibri" w:cs="Arial"/>
                <w:lang w:val="es-CO" w:eastAsia="en-US"/>
              </w:rPr>
              <w:t>que</w:t>
            </w:r>
            <w:r w:rsidR="005D6213">
              <w:rPr>
                <w:rFonts w:eastAsia="Calibri" w:cs="Arial"/>
                <w:lang w:val="es-CO" w:eastAsia="en-US"/>
              </w:rPr>
              <w:t xml:space="preserve"> </w:t>
            </w:r>
            <w:r w:rsidR="00714462" w:rsidRPr="00D14A30">
              <w:rPr>
                <w:rFonts w:eastAsia="Calibri" w:cs="Arial"/>
                <w:lang w:val="es-CO" w:eastAsia="en-US"/>
              </w:rPr>
              <w:t xml:space="preserve">el mismo está a cargo </w:t>
            </w:r>
            <w:r w:rsidR="00AC6388" w:rsidRPr="00D14A30">
              <w:rPr>
                <w:rFonts w:cs="Arial"/>
                <w:shd w:val="clear" w:color="auto" w:fill="FFFFFF"/>
                <w:lang w:eastAsia="es-CO"/>
              </w:rPr>
              <w:t>de</w:t>
            </w:r>
            <w:r w:rsidR="00114FAA">
              <w:rPr>
                <w:rFonts w:cs="Arial"/>
                <w:shd w:val="clear" w:color="auto" w:fill="FFFFFF"/>
                <w:lang w:eastAsia="es-CO"/>
              </w:rPr>
              <w:t xml:space="preserve">l </w:t>
            </w:r>
            <w:r w:rsidR="00114FAA" w:rsidRPr="00D14A30">
              <w:rPr>
                <w:rFonts w:cs="Arial"/>
                <w:shd w:val="clear" w:color="auto" w:fill="FFFFFF"/>
                <w:lang w:eastAsia="es-CO"/>
              </w:rPr>
              <w:t>Ministerio del Interior</w:t>
            </w:r>
            <w:r w:rsidR="00114FAA">
              <w:rPr>
                <w:rFonts w:cs="Arial"/>
                <w:shd w:val="clear" w:color="auto" w:fill="FFFFFF"/>
                <w:lang w:eastAsia="es-CO"/>
              </w:rPr>
              <w:t xml:space="preserve">, </w:t>
            </w:r>
            <w:r w:rsidR="00AC6388" w:rsidRPr="00D14A30">
              <w:rPr>
                <w:rFonts w:cs="Arial"/>
                <w:shd w:val="clear" w:color="auto" w:fill="FFFFFF"/>
                <w:lang w:eastAsia="es-CO"/>
              </w:rPr>
              <w:t xml:space="preserve"> la Unidad Nacional de Protección</w:t>
            </w:r>
            <w:r w:rsidR="005D6213">
              <w:rPr>
                <w:rFonts w:cs="Arial"/>
                <w:shd w:val="clear" w:color="auto" w:fill="FFFFFF"/>
                <w:lang w:eastAsia="es-CO"/>
              </w:rPr>
              <w:t xml:space="preserve"> </w:t>
            </w:r>
            <w:r w:rsidR="00114FAA">
              <w:rPr>
                <w:rFonts w:cs="Arial"/>
                <w:shd w:val="clear" w:color="auto" w:fill="FFFFFF"/>
                <w:lang w:eastAsia="es-CO"/>
              </w:rPr>
              <w:t>–</w:t>
            </w:r>
            <w:r w:rsidR="005D6213">
              <w:rPr>
                <w:rFonts w:cs="Arial"/>
                <w:shd w:val="clear" w:color="auto" w:fill="FFFFFF"/>
                <w:lang w:eastAsia="es-CO"/>
              </w:rPr>
              <w:t xml:space="preserve"> UN</w:t>
            </w:r>
            <w:r w:rsidR="004B2064">
              <w:rPr>
                <w:rFonts w:cs="Arial"/>
                <w:shd w:val="clear" w:color="auto" w:fill="FFFFFF"/>
                <w:lang w:eastAsia="es-CO"/>
              </w:rPr>
              <w:t>P</w:t>
            </w:r>
            <w:r w:rsidR="00114FAA">
              <w:rPr>
                <w:rFonts w:cs="Arial"/>
                <w:shd w:val="clear" w:color="auto" w:fill="FFFFFF"/>
                <w:lang w:eastAsia="es-CO"/>
              </w:rPr>
              <w:t xml:space="preserve"> y de</w:t>
            </w:r>
            <w:r w:rsidR="00AC6388" w:rsidRPr="00D14A30">
              <w:rPr>
                <w:rFonts w:cs="Arial"/>
                <w:shd w:val="clear" w:color="auto" w:fill="FFFFFF"/>
                <w:lang w:eastAsia="es-CO"/>
              </w:rPr>
              <w:t xml:space="preserve"> la Policía Nacional</w:t>
            </w:r>
            <w:r w:rsidR="00114FAA">
              <w:rPr>
                <w:rFonts w:cs="Arial"/>
                <w:shd w:val="clear" w:color="auto" w:fill="FFFFFF"/>
                <w:lang w:eastAsia="es-CO"/>
              </w:rPr>
              <w:t xml:space="preserve">, </w:t>
            </w:r>
            <w:r w:rsidR="00AC6388" w:rsidRPr="00D14A30">
              <w:rPr>
                <w:rFonts w:cs="Arial"/>
                <w:shd w:val="clear" w:color="auto" w:fill="FFFFFF"/>
                <w:lang w:eastAsia="es-CO"/>
              </w:rPr>
              <w:t xml:space="preserve">donde las dos </w:t>
            </w:r>
            <w:r w:rsidR="00114FAA">
              <w:rPr>
                <w:rFonts w:cs="Arial"/>
                <w:shd w:val="clear" w:color="auto" w:fill="FFFFFF"/>
                <w:lang w:eastAsia="es-CO"/>
              </w:rPr>
              <w:t>últimas</w:t>
            </w:r>
            <w:r w:rsidR="00AC6388" w:rsidRPr="00D14A30">
              <w:rPr>
                <w:rFonts w:cs="Arial"/>
                <w:shd w:val="clear" w:color="auto" w:fill="FFFFFF"/>
                <w:lang w:eastAsia="es-CO"/>
              </w:rPr>
              <w:t xml:space="preserve"> por su naturaleza se encargan </w:t>
            </w:r>
            <w:r w:rsidR="00114FAA" w:rsidRPr="00114FAA">
              <w:rPr>
                <w:rFonts w:cs="Arial"/>
                <w:shd w:val="clear" w:color="auto" w:fill="FFFFFF"/>
                <w:lang w:eastAsia="es-CO"/>
              </w:rPr>
              <w:t xml:space="preserve">articular, coordinar y ejecutar la prestación del servicio  </w:t>
            </w:r>
            <w:r w:rsidR="00AC6388" w:rsidRPr="00D14A30">
              <w:rPr>
                <w:rFonts w:cs="Arial"/>
                <w:shd w:val="clear" w:color="auto" w:fill="FFFFFF"/>
                <w:lang w:eastAsia="es-CO"/>
              </w:rPr>
              <w:t>de protección</w:t>
            </w:r>
            <w:r w:rsidR="005D6213">
              <w:rPr>
                <w:rFonts w:cs="Arial"/>
                <w:shd w:val="clear" w:color="auto" w:fill="FFFFFF"/>
                <w:lang w:eastAsia="es-CO"/>
              </w:rPr>
              <w:t xml:space="preserve"> a personas, </w:t>
            </w:r>
            <w:r w:rsidR="00114FAA">
              <w:rPr>
                <w:rFonts w:cs="Arial"/>
                <w:shd w:val="clear" w:color="auto" w:fill="FFFFFF"/>
                <w:lang w:eastAsia="es-CO"/>
              </w:rPr>
              <w:t>g</w:t>
            </w:r>
            <w:r w:rsidR="005D6213">
              <w:rPr>
                <w:rFonts w:cs="Arial"/>
                <w:shd w:val="clear" w:color="auto" w:fill="FFFFFF"/>
                <w:lang w:eastAsia="es-CO"/>
              </w:rPr>
              <w:t xml:space="preserve">rupos y </w:t>
            </w:r>
            <w:r w:rsidR="00114FAA">
              <w:rPr>
                <w:rFonts w:cs="Arial"/>
                <w:shd w:val="clear" w:color="auto" w:fill="FFFFFF"/>
                <w:lang w:eastAsia="es-CO"/>
              </w:rPr>
              <w:t>c</w:t>
            </w:r>
            <w:r w:rsidR="005D6213">
              <w:rPr>
                <w:rFonts w:cs="Arial"/>
                <w:shd w:val="clear" w:color="auto" w:fill="FFFFFF"/>
                <w:lang w:eastAsia="es-CO"/>
              </w:rPr>
              <w:t>omunidades</w:t>
            </w:r>
            <w:r w:rsidR="00AC6388" w:rsidRPr="00D14A30">
              <w:rPr>
                <w:rFonts w:cs="Arial"/>
                <w:shd w:val="clear" w:color="auto" w:fill="FFFFFF"/>
                <w:lang w:eastAsia="es-CO"/>
              </w:rPr>
              <w:t>; mientras que el Ministerio del Interior tiene la potestad reglamentaria</w:t>
            </w:r>
            <w:r w:rsidR="005D6213">
              <w:rPr>
                <w:rFonts w:cs="Arial"/>
                <w:shd w:val="clear" w:color="auto" w:fill="FFFFFF"/>
                <w:lang w:eastAsia="es-CO"/>
              </w:rPr>
              <w:t xml:space="preserve">, de diseño e implementación de la política del sector y de seguimiento al Programa de </w:t>
            </w:r>
            <w:r w:rsidR="005D6213" w:rsidRPr="00D14A30">
              <w:rPr>
                <w:rFonts w:eastAsia="Calibri" w:cs="Arial"/>
                <w:lang w:val="es-CO" w:eastAsia="en-US"/>
              </w:rPr>
              <w:t xml:space="preserve"> Prevención</w:t>
            </w:r>
            <w:r w:rsidR="005D6213">
              <w:rPr>
                <w:rFonts w:cs="Arial"/>
                <w:shd w:val="clear" w:color="auto" w:fill="FFFFFF"/>
                <w:lang w:eastAsia="es-CO"/>
              </w:rPr>
              <w:t xml:space="preserve"> y Protección</w:t>
            </w:r>
            <w:r w:rsidR="00AC6388" w:rsidRPr="00D14A30">
              <w:rPr>
                <w:rFonts w:cs="Arial"/>
                <w:shd w:val="clear" w:color="auto" w:fill="FFFFFF"/>
                <w:lang w:eastAsia="es-CO"/>
              </w:rPr>
              <w:t>.</w:t>
            </w:r>
          </w:p>
          <w:p w14:paraId="6D497F01" w14:textId="4B00118C" w:rsidR="00801F72" w:rsidRDefault="004B2064" w:rsidP="004B2064">
            <w:pPr>
              <w:pStyle w:val="titulo-centrado"/>
              <w:spacing w:before="0" w:beforeAutospacing="0" w:after="0" w:afterAutospacing="0" w:line="254" w:lineRule="atLeast"/>
              <w:jc w:val="both"/>
              <w:rPr>
                <w:rFonts w:ascii="Arial" w:hAnsi="Arial" w:cs="Arial"/>
                <w:sz w:val="20"/>
                <w:szCs w:val="20"/>
                <w:shd w:val="clear" w:color="auto" w:fill="FFFFFF"/>
                <w:lang w:val="es-ES" w:eastAsia="es-CO"/>
              </w:rPr>
            </w:pPr>
            <w:r w:rsidRPr="004B2064">
              <w:rPr>
                <w:rFonts w:ascii="Arial" w:hAnsi="Arial" w:cs="Arial"/>
                <w:sz w:val="20"/>
                <w:szCs w:val="20"/>
                <w:shd w:val="clear" w:color="auto" w:fill="FFFFFF"/>
                <w:lang w:val="es-ES" w:eastAsia="es-CO"/>
              </w:rPr>
              <w:t>E</w:t>
            </w:r>
            <w:r w:rsidR="00AC3EAB" w:rsidRPr="004B2064">
              <w:rPr>
                <w:rFonts w:ascii="Arial" w:hAnsi="Arial" w:cs="Arial"/>
                <w:sz w:val="20"/>
                <w:szCs w:val="20"/>
                <w:shd w:val="clear" w:color="auto" w:fill="FFFFFF"/>
                <w:lang w:val="es-ES" w:eastAsia="es-CO"/>
              </w:rPr>
              <w:t xml:space="preserve">l Congreso de la República expidió el Acto Legislativo 1 del 4 de abril de 2017, </w:t>
            </w:r>
            <w:r w:rsidRPr="004B2064">
              <w:rPr>
                <w:rFonts w:ascii="Arial" w:hAnsi="Arial" w:cs="Arial"/>
                <w:sz w:val="20"/>
                <w:szCs w:val="20"/>
                <w:shd w:val="clear" w:color="auto" w:fill="FFFFFF"/>
                <w:lang w:val="es-ES" w:eastAsia="es-CO"/>
              </w:rPr>
              <w:t>crea</w:t>
            </w:r>
            <w:r w:rsidR="006E5227" w:rsidRPr="004B2064">
              <w:rPr>
                <w:rFonts w:ascii="Arial" w:hAnsi="Arial" w:cs="Arial"/>
                <w:sz w:val="20"/>
                <w:szCs w:val="20"/>
                <w:shd w:val="clear" w:color="auto" w:fill="FFFFFF"/>
                <w:lang w:val="es-ES" w:eastAsia="es-CO"/>
              </w:rPr>
              <w:t xml:space="preserve"> </w:t>
            </w:r>
            <w:r>
              <w:rPr>
                <w:rFonts w:ascii="Arial" w:hAnsi="Arial" w:cs="Arial"/>
                <w:sz w:val="20"/>
                <w:szCs w:val="20"/>
                <w:shd w:val="clear" w:color="auto" w:fill="FFFFFF"/>
                <w:lang w:val="es-ES" w:eastAsia="es-CO"/>
              </w:rPr>
              <w:t xml:space="preserve"> el “</w:t>
            </w:r>
            <w:r w:rsidRPr="00801F72">
              <w:rPr>
                <w:rFonts w:ascii="Arial" w:hAnsi="Arial" w:cs="Arial"/>
                <w:b/>
                <w:bCs/>
                <w:i/>
                <w:iCs/>
                <w:sz w:val="20"/>
                <w:szCs w:val="20"/>
                <w:shd w:val="clear" w:color="auto" w:fill="FFFFFF"/>
                <w:lang w:val="es-ES" w:eastAsia="es-CO"/>
              </w:rPr>
              <w:t>TÍTULO TRANSITORIO DE LAS NORMAS PARA LA TERMINACIÓN DEL CONFLICTO ARMADO Y LA CONSTRUCCIÓN DE UNA PAZ ESTABLE Y DURADERA , CON EL CUAL SE CREA EN SU ARTÍCULO TRANSITORIO 5 LA JURISDICCIÓN ESPECIAL PARA LA PAZ, CON EL OBJETO DE ADMINISTRAR JUSTICIA DE MANERA TRANSITORIA Y AUTÓNOMA”</w:t>
            </w:r>
            <w:r w:rsidR="00AC3EAB" w:rsidRPr="00801F72">
              <w:rPr>
                <w:rFonts w:ascii="Arial" w:hAnsi="Arial" w:cs="Arial"/>
                <w:b/>
                <w:bCs/>
                <w:sz w:val="20"/>
                <w:szCs w:val="20"/>
                <w:shd w:val="clear" w:color="auto" w:fill="FFFFFF"/>
                <w:lang w:val="es-ES" w:eastAsia="es-CO"/>
              </w:rPr>
              <w:t>,</w:t>
            </w:r>
            <w:r w:rsidR="00801F72">
              <w:rPr>
                <w:rFonts w:ascii="Arial" w:hAnsi="Arial" w:cs="Arial"/>
                <w:sz w:val="20"/>
                <w:szCs w:val="20"/>
                <w:shd w:val="clear" w:color="auto" w:fill="FFFFFF"/>
                <w:lang w:val="es-ES" w:eastAsia="es-CO"/>
              </w:rPr>
              <w:t xml:space="preserve"> disponiendo la creación del  </w:t>
            </w:r>
            <w:r w:rsidR="00801F72" w:rsidRPr="00801F72">
              <w:rPr>
                <w:rFonts w:ascii="Arial" w:hAnsi="Arial" w:cs="Arial"/>
                <w:sz w:val="20"/>
                <w:szCs w:val="20"/>
                <w:shd w:val="clear" w:color="auto" w:fill="FFFFFF"/>
                <w:lang w:val="es-ES" w:eastAsia="es-CO"/>
              </w:rPr>
              <w:t>Sistema Integral de Verdad, Justicia, Reparación y No Repetición</w:t>
            </w:r>
            <w:r w:rsidR="00801F72">
              <w:rPr>
                <w:rFonts w:ascii="Arial" w:hAnsi="Arial" w:cs="Arial"/>
                <w:sz w:val="20"/>
                <w:szCs w:val="20"/>
                <w:shd w:val="clear" w:color="auto" w:fill="FFFFFF"/>
                <w:lang w:val="es-ES" w:eastAsia="es-CO"/>
              </w:rPr>
              <w:t xml:space="preserve">, que </w:t>
            </w:r>
            <w:r w:rsidR="00801F72" w:rsidRPr="00801F72">
              <w:rPr>
                <w:rFonts w:ascii="Arial" w:hAnsi="Arial" w:cs="Arial"/>
                <w:sz w:val="20"/>
                <w:szCs w:val="20"/>
                <w:shd w:val="clear" w:color="auto" w:fill="FFFFFF"/>
                <w:lang w:val="es-ES" w:eastAsia="es-CO"/>
              </w:rPr>
              <w:t>est</w:t>
            </w:r>
            <w:r w:rsidR="00801F72">
              <w:rPr>
                <w:rFonts w:ascii="Arial" w:hAnsi="Arial" w:cs="Arial"/>
                <w:sz w:val="20"/>
                <w:szCs w:val="20"/>
                <w:shd w:val="clear" w:color="auto" w:fill="FFFFFF"/>
                <w:lang w:val="es-ES" w:eastAsia="es-CO"/>
              </w:rPr>
              <w:t>á</w:t>
            </w:r>
            <w:r w:rsidR="00801F72" w:rsidRPr="00801F72">
              <w:rPr>
                <w:rFonts w:ascii="Arial" w:hAnsi="Arial" w:cs="Arial"/>
                <w:sz w:val="20"/>
                <w:szCs w:val="20"/>
                <w:shd w:val="clear" w:color="auto" w:fill="FFFFFF"/>
                <w:lang w:val="es-ES" w:eastAsia="es-CO"/>
              </w:rPr>
              <w:t xml:space="preserve"> compuesto por los siguientes mecanismos y medidas: la Comisión para el Esclarecimiento de la Verdad, la Convivencia y la No Repetición; la Unidad para la Búsqueda de Personas dadas por Desaparecidas en el contexto y en razón del conflicto armado; la Jurisdicción Especial para la Paz; las medidas de reparación integral para la construcción de paz y las garantías de no repetición.  </w:t>
            </w:r>
          </w:p>
          <w:p w14:paraId="320873D3" w14:textId="77777777" w:rsidR="00801F72" w:rsidRDefault="00801F72" w:rsidP="004B2064">
            <w:pPr>
              <w:pStyle w:val="titulo-centrado"/>
              <w:spacing w:before="0" w:beforeAutospacing="0" w:after="0" w:afterAutospacing="0" w:line="254" w:lineRule="atLeast"/>
              <w:jc w:val="both"/>
              <w:rPr>
                <w:rFonts w:ascii="Arial" w:hAnsi="Arial" w:cs="Arial"/>
                <w:sz w:val="20"/>
                <w:szCs w:val="20"/>
                <w:shd w:val="clear" w:color="auto" w:fill="FFFFFF"/>
                <w:lang w:val="es-ES" w:eastAsia="es-CO"/>
              </w:rPr>
            </w:pPr>
          </w:p>
          <w:p w14:paraId="1B4AE34A" w14:textId="182FB442" w:rsidR="00C3477D" w:rsidRPr="004B2064" w:rsidRDefault="00801F72" w:rsidP="004B2064">
            <w:pPr>
              <w:pStyle w:val="titulo-centrado"/>
              <w:spacing w:before="0" w:beforeAutospacing="0" w:after="0" w:afterAutospacing="0" w:line="254" w:lineRule="atLeast"/>
              <w:jc w:val="both"/>
              <w:rPr>
                <w:rFonts w:ascii="Arial" w:hAnsi="Arial" w:cs="Arial"/>
                <w:sz w:val="20"/>
                <w:szCs w:val="20"/>
                <w:shd w:val="clear" w:color="auto" w:fill="FFFFFF"/>
                <w:lang w:val="es-ES" w:eastAsia="es-CO"/>
              </w:rPr>
            </w:pPr>
            <w:r w:rsidRPr="00801F72">
              <w:rPr>
                <w:rFonts w:ascii="Arial" w:hAnsi="Arial" w:cs="Arial"/>
                <w:sz w:val="20"/>
                <w:szCs w:val="20"/>
                <w:shd w:val="clear" w:color="auto" w:fill="FFFFFF"/>
                <w:lang w:val="es-ES" w:eastAsia="es-CO"/>
              </w:rPr>
              <w:t>La Jurisdicción Especial para la Paz</w:t>
            </w:r>
            <w:r>
              <w:rPr>
                <w:rFonts w:ascii="Arial" w:hAnsi="Arial" w:cs="Arial"/>
                <w:sz w:val="20"/>
                <w:szCs w:val="20"/>
                <w:shd w:val="clear" w:color="auto" w:fill="FFFFFF"/>
                <w:lang w:val="es-ES" w:eastAsia="es-CO"/>
              </w:rPr>
              <w:t xml:space="preserve"> - JEP, </w:t>
            </w:r>
            <w:r w:rsidR="00AC3EAB" w:rsidRPr="004B2064">
              <w:rPr>
                <w:rFonts w:ascii="Arial" w:hAnsi="Arial" w:cs="Arial"/>
                <w:sz w:val="20"/>
                <w:szCs w:val="20"/>
                <w:shd w:val="clear" w:color="auto" w:fill="FFFFFF"/>
                <w:lang w:val="es-ES" w:eastAsia="es-CO"/>
              </w:rPr>
              <w:t>conocerá de manera preferente sobre todas las demás jurisdicciones y de forma exclusiva de las conductas cometidas con anterioridad al 1 de diciembre de 2016</w:t>
            </w:r>
            <w:r>
              <w:rPr>
                <w:rFonts w:ascii="Arial" w:hAnsi="Arial" w:cs="Arial"/>
                <w:sz w:val="20"/>
                <w:szCs w:val="20"/>
                <w:shd w:val="clear" w:color="auto" w:fill="FFFFFF"/>
                <w:lang w:val="es-ES" w:eastAsia="es-CO"/>
              </w:rPr>
              <w:t>,</w:t>
            </w:r>
            <w:r w:rsidR="00AC3EAB" w:rsidRPr="004B2064">
              <w:rPr>
                <w:rFonts w:ascii="Arial" w:hAnsi="Arial" w:cs="Arial"/>
                <w:sz w:val="20"/>
                <w:szCs w:val="20"/>
                <w:shd w:val="clear" w:color="auto" w:fill="FFFFFF"/>
                <w:lang w:val="es-ES" w:eastAsia="es-CO"/>
              </w:rPr>
              <w:t xml:space="preserve"> por causa, con ocasión o en relación directa o indirecta con el conflicto armado, por quienes participaron en el mismo, en especial respecto a conductas consideradas graves infracciones al Derecho Internacional Humanitario o graves violaciones de los derechos humanos. </w:t>
            </w:r>
          </w:p>
          <w:p w14:paraId="512576BF" w14:textId="78C9128E" w:rsidR="00AD1CA5" w:rsidRPr="00AD1CA5" w:rsidRDefault="00AD1CA5" w:rsidP="00AD1CA5">
            <w:pPr>
              <w:spacing w:before="100" w:beforeAutospacing="1" w:after="100" w:afterAutospacing="1"/>
              <w:jc w:val="both"/>
              <w:rPr>
                <w:rFonts w:cs="Arial"/>
              </w:rPr>
            </w:pPr>
            <w:r>
              <w:rPr>
                <w:rFonts w:cs="Arial"/>
              </w:rPr>
              <w:t>E</w:t>
            </w:r>
            <w:r w:rsidRPr="00AD1CA5">
              <w:rPr>
                <w:rFonts w:cs="Arial"/>
              </w:rPr>
              <w:t>l artículo transitorio 7 del Acto Legislativo 01 de 2017, conformó la estructura de la Jurisdicción Especial para la Paz, estableciendo que El Tribunal para la Paz es el órgano de cierre y la máxima instancia de la Jurisdicción Especial para la Paz. Estará conformado por dos secciones de primera instancia, una Sección de Revisión de Sentencias, una Sección de Apelación y la Sección de Estabilidad y Eficacia. Tribunal que estará integrado por un mínimo de 20 magistrados colombianos titulares. A su vez conformó las Salas de Justicia que corresponden a la Sala de Reconocimiento de Verdad, de Responsabilidad y de Determinación de los Hechos y Conductas; la Sala  de Definición de las Situaciones Jurídicas; y la Sala de Amnistía o Indulto, integradas por un total de 18 magistrados colombianos.</w:t>
            </w:r>
          </w:p>
          <w:p w14:paraId="09C69C32" w14:textId="3A1CE0E8" w:rsidR="00AD1CA5" w:rsidRPr="00AD1CA5" w:rsidRDefault="00AD1CA5" w:rsidP="00AD1CA5">
            <w:pPr>
              <w:spacing w:before="100" w:beforeAutospacing="1" w:after="100" w:afterAutospacing="1"/>
              <w:jc w:val="both"/>
              <w:rPr>
                <w:rFonts w:cs="Arial"/>
              </w:rPr>
            </w:pPr>
            <w:r>
              <w:rPr>
                <w:rFonts w:cs="Arial"/>
              </w:rPr>
              <w:t>E</w:t>
            </w:r>
            <w:r w:rsidRPr="00AD1CA5">
              <w:rPr>
                <w:rFonts w:cs="Arial"/>
              </w:rPr>
              <w:t>n desarrollo de la articulación y coordinación de la prestación del servicio de protección con las entidades competentes a nivel nacional y territorial, el Gobierno Nacional expidió el Decreto 1487 de 2018, por medio del cual definió las medidas de protección procedentes a algunos servidores públicos de la Jurisdicción Especial para la Paz</w:t>
            </w:r>
          </w:p>
          <w:p w14:paraId="2123022B" w14:textId="2EED569B" w:rsidR="00AD1CA5" w:rsidRPr="00AD1CA5" w:rsidRDefault="00AD1CA5" w:rsidP="00AD1CA5">
            <w:pPr>
              <w:spacing w:before="100" w:beforeAutospacing="1" w:after="100" w:afterAutospacing="1"/>
              <w:jc w:val="both"/>
              <w:rPr>
                <w:rFonts w:cs="Arial"/>
              </w:rPr>
            </w:pPr>
            <w:r>
              <w:rPr>
                <w:rFonts w:cs="Arial"/>
              </w:rPr>
              <w:t>E</w:t>
            </w:r>
            <w:r w:rsidRPr="00AD1CA5">
              <w:rPr>
                <w:rFonts w:cs="Arial"/>
              </w:rPr>
              <w:t>l artículo 1 del Decreto 1487 de 2018 adicionó el numeral 16 al artículo 2.4.1.2.6. del Decreto 1066 de 2015, con el cual se establece como población en razón al riesgo a los Magistrados de las Salas del Tribunal para la Paz, y los Fiscales ante las Salas y Secciones y el Secretario Ejecutivo de la JEP y en el artículo 2 de este mismo decreto se adicionó el numeral 10 al artículo 2.4.1.2.7 del Decreto 1066 de 2015, con el cual se establece como población en razón al cargo, entre otros, a los Magistrados del Tribunal para la Paz y  Director de la Unidad de Investigación y Acusación de la JEP - UIA.</w:t>
            </w:r>
          </w:p>
          <w:p w14:paraId="11A359F1" w14:textId="77777777" w:rsidR="006A2AE2" w:rsidRDefault="00AD1CA5" w:rsidP="006E5227">
            <w:pPr>
              <w:spacing w:before="100" w:beforeAutospacing="1" w:after="100" w:afterAutospacing="1"/>
              <w:jc w:val="both"/>
              <w:rPr>
                <w:rFonts w:cs="Arial"/>
                <w:shd w:val="clear" w:color="auto" w:fill="FFFFFF"/>
              </w:rPr>
            </w:pPr>
            <w:r>
              <w:rPr>
                <w:rFonts w:cs="Arial"/>
              </w:rPr>
              <w:t>La</w:t>
            </w:r>
            <w:r w:rsidR="007A3DDF" w:rsidRPr="00D14A30">
              <w:rPr>
                <w:rFonts w:cs="Arial"/>
              </w:rPr>
              <w:t xml:space="preserve"> Jurisdicción Especial para la Paz </w:t>
            </w:r>
            <w:r>
              <w:rPr>
                <w:rFonts w:cs="Arial"/>
              </w:rPr>
              <w:t xml:space="preserve">JEP, </w:t>
            </w:r>
            <w:r w:rsidR="007A3DDF" w:rsidRPr="00D14A30">
              <w:rPr>
                <w:rFonts w:cs="Arial"/>
              </w:rPr>
              <w:t>a través de su Presidente Magistrado Dr. Roberto Carlos Vidal Ortiz, present</w:t>
            </w:r>
            <w:r>
              <w:rPr>
                <w:rFonts w:cs="Arial"/>
              </w:rPr>
              <w:t>ó</w:t>
            </w:r>
            <w:r w:rsidR="007A3DDF" w:rsidRPr="00D14A30">
              <w:rPr>
                <w:rFonts w:cs="Arial"/>
              </w:rPr>
              <w:t xml:space="preserve"> petición al Mi</w:t>
            </w:r>
            <w:r w:rsidR="006E5227" w:rsidRPr="00D14A30">
              <w:rPr>
                <w:rFonts w:cs="Arial"/>
              </w:rPr>
              <w:t>ni</w:t>
            </w:r>
            <w:r w:rsidR="007A3DDF" w:rsidRPr="00D14A30">
              <w:rPr>
                <w:rFonts w:cs="Arial"/>
              </w:rPr>
              <w:t xml:space="preserve">sterio del Interior Dirección de Derechos Humanos, con el fin de reforzar con personal de la Policía Nacional los esquemas de protección de los </w:t>
            </w:r>
            <w:r w:rsidRPr="00D14A30">
              <w:rPr>
                <w:rFonts w:cs="Arial"/>
              </w:rPr>
              <w:t xml:space="preserve">Magistrados </w:t>
            </w:r>
            <w:r w:rsidR="006A2AE2" w:rsidRPr="0071379F">
              <w:rPr>
                <w:rFonts w:cs="Arial"/>
              </w:rPr>
              <w:t xml:space="preserve">de las </w:t>
            </w:r>
            <w:r w:rsidR="006A2AE2">
              <w:rPr>
                <w:rFonts w:cs="Arial"/>
              </w:rPr>
              <w:t>Sala de</w:t>
            </w:r>
            <w:r w:rsidR="006A2AE2" w:rsidRPr="0071379F">
              <w:rPr>
                <w:rFonts w:cs="Arial"/>
              </w:rPr>
              <w:t xml:space="preserve"> Reconocimiento de Verdad, de Responsabilidad </w:t>
            </w:r>
            <w:r w:rsidR="006A2AE2" w:rsidRPr="0071379F">
              <w:rPr>
                <w:rFonts w:cs="Arial"/>
              </w:rPr>
              <w:lastRenderedPageBreak/>
              <w:t>y de Determinación de los Hechos y Conductas;</w:t>
            </w:r>
            <w:r w:rsidR="006A2AE2">
              <w:rPr>
                <w:rFonts w:cs="Arial"/>
              </w:rPr>
              <w:t xml:space="preserve"> la Sala</w:t>
            </w:r>
            <w:r w:rsidR="006A2AE2" w:rsidRPr="0071379F">
              <w:rPr>
                <w:rFonts w:cs="Arial"/>
              </w:rPr>
              <w:t xml:space="preserve"> de Definición de las Situaciones Jurídicas; y</w:t>
            </w:r>
            <w:r w:rsidR="006A2AE2">
              <w:rPr>
                <w:rFonts w:cs="Arial"/>
              </w:rPr>
              <w:t xml:space="preserve"> la Sala</w:t>
            </w:r>
            <w:r w:rsidR="006A2AE2" w:rsidRPr="0071379F">
              <w:rPr>
                <w:rFonts w:cs="Arial"/>
              </w:rPr>
              <w:t xml:space="preserve"> de Amnistía o Indulto</w:t>
            </w:r>
            <w:r w:rsidR="007A3DDF" w:rsidRPr="00D14A30">
              <w:rPr>
                <w:rFonts w:cs="Arial"/>
              </w:rPr>
              <w:t xml:space="preserve">, </w:t>
            </w:r>
            <w:r w:rsidR="007A3DDF" w:rsidRPr="00D14A30">
              <w:rPr>
                <w:rFonts w:cs="Arial"/>
                <w:shd w:val="clear" w:color="auto" w:fill="FFFFFF"/>
              </w:rPr>
              <w:t xml:space="preserve">los Fiscales ante las Salas y Secciones y el Secretario Ejecutivo de la JEP; en atención a dicho requerimiento </w:t>
            </w:r>
            <w:r w:rsidR="00715DC7" w:rsidRPr="00D14A30">
              <w:rPr>
                <w:rFonts w:cs="Arial"/>
                <w:shd w:val="clear" w:color="auto" w:fill="FFFFFF"/>
              </w:rPr>
              <w:t xml:space="preserve">desde la Unidad Nacional de Protección </w:t>
            </w:r>
            <w:r w:rsidR="007A3DDF" w:rsidRPr="00D14A30">
              <w:rPr>
                <w:rFonts w:cs="Arial"/>
                <w:shd w:val="clear" w:color="auto" w:fill="FFFFFF"/>
              </w:rPr>
              <w:t>se dio respuesta al Ministerio del Interior mediante el oficio OFI23-00027659 del 6-06-2023, expon</w:t>
            </w:r>
            <w:r w:rsidR="006E5227" w:rsidRPr="00D14A30">
              <w:rPr>
                <w:rFonts w:cs="Arial"/>
                <w:shd w:val="clear" w:color="auto" w:fill="FFFFFF"/>
              </w:rPr>
              <w:t xml:space="preserve">iendo </w:t>
            </w:r>
            <w:r w:rsidR="007A3DDF" w:rsidRPr="00D14A30">
              <w:rPr>
                <w:rFonts w:cs="Arial"/>
                <w:shd w:val="clear" w:color="auto" w:fill="FFFFFF"/>
              </w:rPr>
              <w:t xml:space="preserve">la regulación que sobre el particular tiene el Decreto 1066 de 2015. </w:t>
            </w:r>
          </w:p>
          <w:p w14:paraId="7FF1D2F8" w14:textId="36C5A8AA" w:rsidR="006A2AE2" w:rsidRDefault="007A3DDF" w:rsidP="006E5227">
            <w:pPr>
              <w:spacing w:before="100" w:beforeAutospacing="1" w:after="100" w:afterAutospacing="1"/>
              <w:jc w:val="both"/>
              <w:rPr>
                <w:rFonts w:cs="Arial"/>
                <w:shd w:val="clear" w:color="auto" w:fill="FFFFFF"/>
              </w:rPr>
            </w:pPr>
            <w:r w:rsidRPr="00D14A30">
              <w:rPr>
                <w:rFonts w:cs="Arial"/>
                <w:shd w:val="clear" w:color="auto" w:fill="FFFFFF"/>
              </w:rPr>
              <w:t>Posteriormente</w:t>
            </w:r>
            <w:r w:rsidR="006A2AE2">
              <w:rPr>
                <w:rFonts w:cs="Arial"/>
                <w:shd w:val="clear" w:color="auto" w:fill="FFFFFF"/>
              </w:rPr>
              <w:t>, la</w:t>
            </w:r>
            <w:r w:rsidR="006A2AE2" w:rsidRPr="00D14A30">
              <w:rPr>
                <w:rFonts w:cs="Arial"/>
                <w:shd w:val="clear" w:color="auto" w:fill="FFFFFF"/>
              </w:rPr>
              <w:t xml:space="preserve"> Secretaría Ejecutiva</w:t>
            </w:r>
            <w:r w:rsidR="006A2AE2">
              <w:rPr>
                <w:rFonts w:cs="Arial"/>
                <w:shd w:val="clear" w:color="auto" w:fill="FFFFFF"/>
              </w:rPr>
              <w:t xml:space="preserve"> de la Jurisdicción Especial para la Paz - JEP, convocó  </w:t>
            </w:r>
            <w:r w:rsidRPr="00D14A30">
              <w:rPr>
                <w:rFonts w:cs="Arial"/>
                <w:shd w:val="clear" w:color="auto" w:fill="FFFFFF"/>
              </w:rPr>
              <w:t>el 16</w:t>
            </w:r>
            <w:r w:rsidR="006A2AE2">
              <w:rPr>
                <w:rFonts w:cs="Arial"/>
                <w:shd w:val="clear" w:color="auto" w:fill="FFFFFF"/>
              </w:rPr>
              <w:t xml:space="preserve"> de junio de </w:t>
            </w:r>
            <w:r w:rsidRPr="00D14A30">
              <w:rPr>
                <w:rFonts w:cs="Arial"/>
                <w:shd w:val="clear" w:color="auto" w:fill="FFFFFF"/>
              </w:rPr>
              <w:t xml:space="preserve">2023 </w:t>
            </w:r>
            <w:r w:rsidR="006A2AE2">
              <w:rPr>
                <w:rFonts w:cs="Arial"/>
                <w:shd w:val="clear" w:color="auto" w:fill="FFFFFF"/>
              </w:rPr>
              <w:t>a</w:t>
            </w:r>
            <w:r w:rsidRPr="00D14A30">
              <w:rPr>
                <w:rFonts w:cs="Arial"/>
                <w:shd w:val="clear" w:color="auto" w:fill="FFFFFF"/>
              </w:rPr>
              <w:t xml:space="preserve"> una mesa de trabajo, </w:t>
            </w:r>
            <w:r w:rsidR="006A2AE2">
              <w:rPr>
                <w:rFonts w:cs="Arial"/>
                <w:shd w:val="clear" w:color="auto" w:fill="FFFFFF"/>
              </w:rPr>
              <w:t>con fin de revisar las situaciones de seguridad de los Magistrados y otros funcionarios de la JEP, quienes habrían sido objeto de graves amenazas en razón al ejercicio de sus funciones jurisdiccionales, como se resumen a continuación:</w:t>
            </w:r>
          </w:p>
          <w:p w14:paraId="5203FF96" w14:textId="02B5C0C3" w:rsidR="00715DC7" w:rsidRPr="006A2AE2" w:rsidRDefault="006A2AE2" w:rsidP="00715DC7">
            <w:pPr>
              <w:spacing w:before="100" w:beforeAutospacing="1" w:after="100" w:afterAutospacing="1"/>
              <w:ind w:left="358"/>
              <w:jc w:val="both"/>
              <w:rPr>
                <w:rFonts w:cs="Arial"/>
                <w:i/>
                <w:iCs/>
                <w:lang w:eastAsia="en-US"/>
              </w:rPr>
            </w:pPr>
            <w:r w:rsidRPr="006A2AE2">
              <w:rPr>
                <w:rFonts w:cs="Arial"/>
                <w:i/>
                <w:iCs/>
                <w:lang w:eastAsia="en-US"/>
              </w:rPr>
              <w:t>“</w:t>
            </w:r>
            <w:r w:rsidR="00715DC7" w:rsidRPr="006A2AE2">
              <w:rPr>
                <w:rFonts w:cs="Arial"/>
                <w:i/>
                <w:iCs/>
                <w:lang w:eastAsia="en-US"/>
              </w:rPr>
              <w:t>(…)</w:t>
            </w:r>
          </w:p>
          <w:p w14:paraId="7E70EC2A" w14:textId="6289F47C" w:rsidR="007A3DDF" w:rsidRPr="006A2AE2" w:rsidRDefault="00715DC7" w:rsidP="00715DC7">
            <w:pPr>
              <w:spacing w:before="100" w:beforeAutospacing="1" w:after="100" w:afterAutospacing="1"/>
              <w:ind w:left="358"/>
              <w:jc w:val="both"/>
              <w:rPr>
                <w:rFonts w:cs="Arial"/>
                <w:i/>
                <w:iCs/>
                <w:shd w:val="clear" w:color="auto" w:fill="FFFFFF"/>
              </w:rPr>
            </w:pPr>
            <w:r w:rsidRPr="006A2AE2">
              <w:rPr>
                <w:rFonts w:cs="Arial"/>
                <w:i/>
                <w:iCs/>
                <w:lang w:eastAsia="en-US"/>
              </w:rPr>
              <w:t>En este punto el Secretario Ejecutivo dio inicio a la reunión señalando que este espacio de diálogo está orientado a la construcción de una solución perentoria a las distintas problemáticas que en materia de seguridad afectan a la Jurisdicción Especial para la Paz.</w:t>
            </w:r>
            <w:r w:rsidRPr="006A2AE2">
              <w:rPr>
                <w:rFonts w:cs="Arial"/>
                <w:i/>
                <w:iCs/>
              </w:rPr>
              <w:t xml:space="preserve"> Al respecto, mencionó, que existe una decisión judicial relacionada con este asunto, el Auto No. 168 de 2023, cuyo objeto es adoptar decisiones sobre la seguridad en los desplazamientos a diligencias del Caso 05, así como dos correos electrónicos enviados por el Magistrado que profirió dicha decisión judic</w:t>
            </w:r>
            <w:r w:rsidR="006A2AE2">
              <w:rPr>
                <w:rFonts w:cs="Arial"/>
                <w:i/>
                <w:iCs/>
              </w:rPr>
              <w:t>i</w:t>
            </w:r>
            <w:r w:rsidRPr="006A2AE2">
              <w:rPr>
                <w:rFonts w:cs="Arial"/>
                <w:i/>
                <w:iCs/>
              </w:rPr>
              <w:t>al, y un oficio enviado por el Presidente de la Sección de Revisión de Sentencias, en los cuales se pone de presente esta situación y solicita las medidas necesarias que garanticen la seguridad en los desplazamientos y la permanencia en territorio durante el desarrollo de las diligencias judiciales, y que fueron trasladadas por competencia a la Unidad Nacional de Protección - UNP.</w:t>
            </w:r>
          </w:p>
          <w:p w14:paraId="4D20FCD2" w14:textId="77777777" w:rsidR="00715DC7" w:rsidRPr="006A2AE2" w:rsidRDefault="00715DC7" w:rsidP="00715DC7">
            <w:pPr>
              <w:ind w:left="358"/>
              <w:jc w:val="both"/>
              <w:rPr>
                <w:rFonts w:cs="Arial"/>
                <w:i/>
                <w:iCs/>
              </w:rPr>
            </w:pPr>
            <w:r w:rsidRPr="006A2AE2">
              <w:rPr>
                <w:rFonts w:cs="Arial"/>
                <w:i/>
                <w:iCs/>
              </w:rPr>
              <w:t>(…)</w:t>
            </w:r>
          </w:p>
          <w:p w14:paraId="058FDDFB" w14:textId="77777777" w:rsidR="00715DC7" w:rsidRPr="006A2AE2" w:rsidRDefault="00715DC7" w:rsidP="00715DC7">
            <w:pPr>
              <w:ind w:left="358"/>
              <w:jc w:val="both"/>
              <w:rPr>
                <w:rFonts w:cs="Arial"/>
                <w:i/>
                <w:iCs/>
              </w:rPr>
            </w:pPr>
          </w:p>
          <w:p w14:paraId="6DDA7E00" w14:textId="4A125FB0" w:rsidR="00715DC7" w:rsidRDefault="00715DC7" w:rsidP="006A2AE2">
            <w:pPr>
              <w:ind w:left="358"/>
              <w:jc w:val="both"/>
              <w:rPr>
                <w:rFonts w:cs="Arial"/>
                <w:i/>
                <w:iCs/>
                <w:shd w:val="clear" w:color="auto" w:fill="FFFFFF"/>
              </w:rPr>
            </w:pPr>
            <w:r w:rsidRPr="006A2AE2">
              <w:rPr>
                <w:rFonts w:cs="Arial"/>
                <w:i/>
                <w:iCs/>
              </w:rPr>
              <w:t>De igual manera, expresó que no se puede perder de vista el contexto de inseguridad en el que nos encontramos. Las amenazas al Magistrado Alejandro Ramelli Arteaga y a su Magistrado Auxiliar Hugo Escobar dan cuenta de afectaciones a la seguridad que se asocian a la movilidad de dicho Magistrado al Caso 03, lo que hace urgente reforzar los equipos que protegen a las Salas de Justicia, a los Fiscales ante Sala y al Secretario Ejecutivo.</w:t>
            </w:r>
            <w:r w:rsidR="006A2AE2" w:rsidRPr="006A2AE2">
              <w:rPr>
                <w:rFonts w:cs="Arial"/>
                <w:i/>
                <w:iCs/>
                <w:shd w:val="clear" w:color="auto" w:fill="FFFFFF"/>
              </w:rPr>
              <w:t>”</w:t>
            </w:r>
          </w:p>
          <w:p w14:paraId="3DEDBD60" w14:textId="6486EEEE" w:rsidR="006A2AE2" w:rsidRDefault="006A2AE2" w:rsidP="006A2AE2">
            <w:pPr>
              <w:ind w:left="358"/>
              <w:jc w:val="both"/>
              <w:rPr>
                <w:rFonts w:cs="Arial"/>
                <w:i/>
                <w:iCs/>
              </w:rPr>
            </w:pPr>
          </w:p>
          <w:p w14:paraId="2788FF3F" w14:textId="77777777" w:rsidR="006A2AE2" w:rsidRPr="006A2AE2" w:rsidRDefault="006A2AE2" w:rsidP="006A2AE2">
            <w:pPr>
              <w:ind w:left="358"/>
              <w:jc w:val="both"/>
              <w:rPr>
                <w:rFonts w:cs="Arial"/>
                <w:i/>
                <w:iCs/>
              </w:rPr>
            </w:pPr>
          </w:p>
          <w:p w14:paraId="5AF6E7AB" w14:textId="54E59348" w:rsidR="0009760B" w:rsidRPr="0009760B" w:rsidRDefault="00EA7A56" w:rsidP="0009760B">
            <w:pPr>
              <w:jc w:val="both"/>
              <w:rPr>
                <w:rFonts w:cs="Arial"/>
              </w:rPr>
            </w:pPr>
            <w:r>
              <w:rPr>
                <w:rFonts w:cs="Arial"/>
              </w:rPr>
              <w:t xml:space="preserve">Las </w:t>
            </w:r>
            <w:r w:rsidR="00B10DE3" w:rsidRPr="00D14A30">
              <w:rPr>
                <w:rFonts w:cs="Arial"/>
              </w:rPr>
              <w:t>anteriores circunstancias</w:t>
            </w:r>
            <w:r w:rsidR="007101CA" w:rsidRPr="00D14A30">
              <w:rPr>
                <w:rFonts w:cs="Arial"/>
              </w:rPr>
              <w:t>,</w:t>
            </w:r>
            <w:r>
              <w:rPr>
                <w:rFonts w:cs="Arial"/>
              </w:rPr>
              <w:t xml:space="preserve"> muestran que el Estado Colombiano se encuentra en el deber de garantizar que los funcionarios de la JEP, cuenten con medidas de protección necesarias para continuar </w:t>
            </w:r>
            <w:r w:rsidR="0009760B">
              <w:rPr>
                <w:rFonts w:cs="Arial"/>
              </w:rPr>
              <w:t>s</w:t>
            </w:r>
            <w:r w:rsidR="0009760B" w:rsidRPr="0009760B">
              <w:rPr>
                <w:rFonts w:cs="Arial"/>
              </w:rPr>
              <w:t xml:space="preserve">us objetivos </w:t>
            </w:r>
            <w:r w:rsidR="0009760B">
              <w:rPr>
                <w:rFonts w:cs="Arial"/>
              </w:rPr>
              <w:t xml:space="preserve">de </w:t>
            </w:r>
            <w:r w:rsidR="0009760B" w:rsidRPr="0009760B">
              <w:rPr>
                <w:rFonts w:cs="Arial"/>
              </w:rPr>
              <w:t>satisfacer el derecho de las víctimas a la justicia; ofrecer verdad a la sociedad colombiana; proteger los derechos de las víctimas; contribuir al logro de una paz estable y duradera; y adoptar decisiones que otorguen plena seguridad jurídica a quienes participaron de manera directa o indirecta en el conflicto armado interno mediante la comisión de las mencionadas conductas. </w:t>
            </w:r>
          </w:p>
          <w:p w14:paraId="5917EBC4" w14:textId="4D2274D8" w:rsidR="0009760B" w:rsidRDefault="0009760B" w:rsidP="00F60C9E">
            <w:pPr>
              <w:jc w:val="both"/>
              <w:rPr>
                <w:rFonts w:cs="Arial"/>
              </w:rPr>
            </w:pPr>
          </w:p>
          <w:p w14:paraId="690AE1D0" w14:textId="1C25D9E2" w:rsidR="00EA7A56" w:rsidRDefault="0009760B" w:rsidP="00F60C9E">
            <w:pPr>
              <w:jc w:val="both"/>
              <w:rPr>
                <w:rFonts w:cs="Arial"/>
              </w:rPr>
            </w:pPr>
            <w:r w:rsidRPr="0009760B">
              <w:rPr>
                <w:rFonts w:cs="Arial"/>
              </w:rPr>
              <w:t xml:space="preserve">Bajo este prisma,  el ejercicio de las funciones jurisdiccionales de los Magistrados del Tribunal para la Paz y, de las Salas de Justicia , así como las del </w:t>
            </w:r>
            <w:bookmarkStart w:id="2" w:name="_Hlk145008727"/>
            <w:r w:rsidRPr="0009760B">
              <w:rPr>
                <w:rFonts w:cs="Arial"/>
              </w:rPr>
              <w:t>Director y Fiscales de la Unidad de Investigación y Acusación de la JEP</w:t>
            </w:r>
            <w:bookmarkEnd w:id="2"/>
            <w:r w:rsidRPr="0009760B">
              <w:rPr>
                <w:rFonts w:cs="Arial"/>
              </w:rPr>
              <w:t>, que intervienen ante los despachos de los primeros, se ven abocados a situaciones de riesgos excepcionales en el esclarecimiento de crímenes por causa, con ocasión o en relación directa o indirecta con el conflicto armado, en aquellas zonas donde las condiciones de seguridad y protección son especialmente críticas, debido a la presencia de actores armados ilegales que inciden en la desestabilización del orden público en los lugares de ocurrencia de los hechos materia de investigación</w:t>
            </w:r>
            <w:r>
              <w:rPr>
                <w:rFonts w:cs="Arial"/>
              </w:rPr>
              <w:t xml:space="preserve">, es por ello que las medidas de protección se convierten en una herramienta indispensable para que </w:t>
            </w:r>
            <w:r w:rsidR="00EA7A56">
              <w:rPr>
                <w:rFonts w:cs="Arial"/>
              </w:rPr>
              <w:t xml:space="preserve">las investigaciones permitan </w:t>
            </w:r>
            <w:r>
              <w:rPr>
                <w:rFonts w:cs="Arial"/>
              </w:rPr>
              <w:t xml:space="preserve">avanzar en </w:t>
            </w:r>
            <w:r w:rsidR="00EA7A56">
              <w:rPr>
                <w:rFonts w:cs="Arial"/>
              </w:rPr>
              <w:t>la materialización de los</w:t>
            </w:r>
            <w:r w:rsidR="00EA7A56" w:rsidRPr="00EA7A56">
              <w:rPr>
                <w:rFonts w:cs="Arial"/>
                <w:color w:val="000000"/>
              </w:rPr>
              <w:t xml:space="preserve"> </w:t>
            </w:r>
            <w:r w:rsidR="00EA7A56" w:rsidRPr="00EA7A56">
              <w:rPr>
                <w:rFonts w:cs="Arial"/>
              </w:rPr>
              <w:t>principio</w:t>
            </w:r>
            <w:r w:rsidR="00EA7A56">
              <w:rPr>
                <w:rFonts w:cs="Arial"/>
              </w:rPr>
              <w:t>s</w:t>
            </w:r>
            <w:r w:rsidR="00EA7A56" w:rsidRPr="00EA7A56">
              <w:rPr>
                <w:rFonts w:cs="Arial"/>
              </w:rPr>
              <w:t xml:space="preserve"> de reconocimiento de las víctimas como ciudadanos con derechos; del reconocimiento </w:t>
            </w:r>
            <w:r w:rsidR="00EA7A56">
              <w:rPr>
                <w:rFonts w:cs="Arial"/>
              </w:rPr>
              <w:t>de la</w:t>
            </w:r>
            <w:r w:rsidR="00EA7A56" w:rsidRPr="00EA7A56">
              <w:rPr>
                <w:rFonts w:cs="Arial"/>
              </w:rPr>
              <w:t xml:space="preserve"> verdad plena sobre lo ocurrido; del principio de reconocimiento de responsabilidad por parte de todos quienes participaron de manera directa o indirecta en el conflicto y se vieron involucrados de alguna manera en graves violaciones a los derechos humanos y graves infracciones al Derecho Internacional Humanitario; del principio de satisfacción de los derechos de las víctimas a la verdad, la justicia, la reparación y la no repetición.  </w:t>
            </w:r>
          </w:p>
          <w:p w14:paraId="3450DBC7" w14:textId="1D0C1DB0" w:rsidR="0009760B" w:rsidRDefault="0009760B" w:rsidP="00F60C9E">
            <w:pPr>
              <w:jc w:val="both"/>
              <w:rPr>
                <w:rFonts w:cs="Arial"/>
              </w:rPr>
            </w:pPr>
          </w:p>
          <w:p w14:paraId="728C60E6" w14:textId="0B6567B0" w:rsidR="00EA7A56" w:rsidRDefault="004D34F8" w:rsidP="00F60C9E">
            <w:pPr>
              <w:jc w:val="both"/>
              <w:rPr>
                <w:rFonts w:cs="Arial"/>
              </w:rPr>
            </w:pPr>
            <w:r>
              <w:rPr>
                <w:rFonts w:cs="Arial"/>
              </w:rPr>
              <w:t xml:space="preserve">Las disposiciones constitucionales citadas, </w:t>
            </w:r>
            <w:r w:rsidR="00F31B27">
              <w:rPr>
                <w:rFonts w:cs="Arial"/>
              </w:rPr>
              <w:t xml:space="preserve">señalan que </w:t>
            </w:r>
            <w:r>
              <w:rPr>
                <w:rFonts w:cs="Arial"/>
              </w:rPr>
              <w:t>la Jurisdicción Especial para la Paz cuenta con facultades especiales,  transitorias y autónomas de</w:t>
            </w:r>
            <w:r w:rsidRPr="004D34F8">
              <w:rPr>
                <w:rFonts w:cs="Arial"/>
              </w:rPr>
              <w:t xml:space="preserve"> administración de justicia</w:t>
            </w:r>
            <w:r>
              <w:rPr>
                <w:rFonts w:cs="Arial"/>
              </w:rPr>
              <w:t xml:space="preserve">, cuya definición no se aparta del estatuto de administración de justicia Ley 270 de 1996, que la define como </w:t>
            </w:r>
            <w:r w:rsidRPr="004D34F8">
              <w:rPr>
                <w:rFonts w:cs="Arial"/>
              </w:rPr>
              <w:t xml:space="preserve">la parte de la función pública que cumple el Estado </w:t>
            </w:r>
            <w:r w:rsidRPr="004D34F8">
              <w:rPr>
                <w:rFonts w:cs="Arial"/>
              </w:rPr>
              <w:lastRenderedPageBreak/>
              <w:t>encargada por la Constitución Política y la ley de hacer efectivos los derechos, obligaciones, garantías y libertades consagrados en ellas, con el fin de realizar la convivencia social y lograr y mantener la concordia nacional.</w:t>
            </w:r>
          </w:p>
          <w:p w14:paraId="4C477220" w14:textId="77777777" w:rsidR="006C3292" w:rsidRDefault="006C3292" w:rsidP="00F60C9E">
            <w:pPr>
              <w:jc w:val="both"/>
              <w:rPr>
                <w:rFonts w:cs="Arial"/>
              </w:rPr>
            </w:pPr>
          </w:p>
          <w:p w14:paraId="68CE86CE" w14:textId="3ACD963A" w:rsidR="00B02EC0" w:rsidRDefault="00F31B27" w:rsidP="00F60C9E">
            <w:pPr>
              <w:jc w:val="both"/>
              <w:rPr>
                <w:rFonts w:cs="Arial"/>
              </w:rPr>
            </w:pPr>
            <w:r>
              <w:rPr>
                <w:rFonts w:cs="Arial"/>
              </w:rPr>
              <w:t>L</w:t>
            </w:r>
            <w:r w:rsidR="00662027">
              <w:rPr>
                <w:rFonts w:cs="Arial"/>
              </w:rPr>
              <w:t>a</w:t>
            </w:r>
            <w:r>
              <w:rPr>
                <w:rFonts w:cs="Arial"/>
              </w:rPr>
              <w:t xml:space="preserve"> administración de justicia debe contar con </w:t>
            </w:r>
            <w:r w:rsidR="00A80A4D">
              <w:rPr>
                <w:rFonts w:cs="Arial"/>
              </w:rPr>
              <w:t>instrumentos</w:t>
            </w:r>
            <w:r>
              <w:rPr>
                <w:rFonts w:cs="Arial"/>
              </w:rPr>
              <w:t xml:space="preserve"> jurídic</w:t>
            </w:r>
            <w:r w:rsidR="00A80A4D">
              <w:rPr>
                <w:rFonts w:cs="Arial"/>
              </w:rPr>
              <w:t>o</w:t>
            </w:r>
            <w:r>
              <w:rPr>
                <w:rFonts w:cs="Arial"/>
              </w:rPr>
              <w:t xml:space="preserve">s que le permitan hacer efectivos </w:t>
            </w:r>
            <w:r w:rsidRPr="00F31B27">
              <w:rPr>
                <w:rFonts w:cs="Arial"/>
              </w:rPr>
              <w:t xml:space="preserve">derechos, obligaciones, garantías y libertades consagrados en </w:t>
            </w:r>
            <w:r>
              <w:rPr>
                <w:rFonts w:cs="Arial"/>
              </w:rPr>
              <w:t>la Constitucional Nacional</w:t>
            </w:r>
            <w:r w:rsidR="00662027">
              <w:rPr>
                <w:rFonts w:cs="Arial"/>
              </w:rPr>
              <w:t xml:space="preserve"> </w:t>
            </w:r>
            <w:r w:rsidR="00617906">
              <w:rPr>
                <w:rFonts w:cs="Arial"/>
              </w:rPr>
              <w:t xml:space="preserve">para todas </w:t>
            </w:r>
            <w:r w:rsidR="00617906">
              <w:rPr>
                <w:rFonts w:cs="Arial"/>
                <w:color w:val="000000"/>
              </w:rPr>
              <w:t>las personas residentes en Colombia, </w:t>
            </w:r>
            <w:r>
              <w:rPr>
                <w:rFonts w:cs="Arial"/>
              </w:rPr>
              <w:t xml:space="preserve">para ello </w:t>
            </w:r>
            <w:r w:rsidR="00617906">
              <w:rPr>
                <w:rFonts w:cs="Arial"/>
              </w:rPr>
              <w:t xml:space="preserve">la Policía Nacional juega un papel fundamental </w:t>
            </w:r>
            <w:r w:rsidR="00F83EFA">
              <w:rPr>
                <w:rFonts w:cs="Arial"/>
              </w:rPr>
              <w:t xml:space="preserve">no solamente cuando fungen en el rol de policía judicial, sino en el desarrollo de </w:t>
            </w:r>
            <w:r w:rsidR="00A80A4D">
              <w:rPr>
                <w:rFonts w:cs="Arial"/>
              </w:rPr>
              <w:t xml:space="preserve">diligencias judiciales </w:t>
            </w:r>
            <w:r w:rsidR="00F83EFA">
              <w:rPr>
                <w:rFonts w:cs="Arial"/>
              </w:rPr>
              <w:t xml:space="preserve">en materia de </w:t>
            </w:r>
            <w:r w:rsidR="00B02EC0" w:rsidRPr="00B02EC0">
              <w:rPr>
                <w:rFonts w:cs="Arial"/>
              </w:rPr>
              <w:t xml:space="preserve">Prevención y Protección </w:t>
            </w:r>
            <w:r w:rsidR="00B02EC0">
              <w:rPr>
                <w:rFonts w:cs="Arial"/>
              </w:rPr>
              <w:t>como una figura de autoridad que representa materialmente la voluntad de la constitución y la ley</w:t>
            </w:r>
            <w:r w:rsidR="00A80A4D">
              <w:rPr>
                <w:rFonts w:cs="Arial"/>
              </w:rPr>
              <w:t>.</w:t>
            </w:r>
            <w:r w:rsidR="00B02EC0">
              <w:rPr>
                <w:rFonts w:cs="Arial"/>
              </w:rPr>
              <w:t xml:space="preserve"> </w:t>
            </w:r>
          </w:p>
          <w:p w14:paraId="388CBD0F" w14:textId="77777777" w:rsidR="00B02EC0" w:rsidRDefault="00B02EC0" w:rsidP="00F60C9E">
            <w:pPr>
              <w:jc w:val="both"/>
              <w:rPr>
                <w:rFonts w:cs="Arial"/>
              </w:rPr>
            </w:pPr>
          </w:p>
          <w:p w14:paraId="20214F6A" w14:textId="0CA6DFE2" w:rsidR="002225C2" w:rsidRPr="002225C2" w:rsidRDefault="008D07A5" w:rsidP="002225C2">
            <w:pPr>
              <w:jc w:val="both"/>
              <w:rPr>
                <w:rFonts w:cs="Arial"/>
                <w:shd w:val="clear" w:color="auto" w:fill="FFFFFF"/>
              </w:rPr>
            </w:pPr>
            <w:r>
              <w:rPr>
                <w:rFonts w:cs="Arial"/>
              </w:rPr>
              <w:t xml:space="preserve">Una vez analizada la normativa que soporta se observa que </w:t>
            </w:r>
            <w:r w:rsidR="002225C2" w:rsidRPr="002225C2">
              <w:rPr>
                <w:rFonts w:cs="Arial"/>
                <w:shd w:val="clear" w:color="auto" w:fill="FFFFFF"/>
              </w:rPr>
              <w:t xml:space="preserve">requiere realizar ajustes al programa de prevención y protección, para lograr con mayor idoneidad y eficiencia que las medidas de protección suministradas a los Magistrados de Tribunal para la Paz, Magistrados de las Salas de Justicia, Fiscales  y el Director de la Unidad de Investigación y Acusación de la JEP de la JEP que intervienen ante sus despachos, sean complementadas con las de carácter  </w:t>
            </w:r>
            <w:bookmarkStart w:id="3" w:name="_GoBack"/>
            <w:r w:rsidR="002225C2" w:rsidRPr="002225C2">
              <w:rPr>
                <w:rFonts w:cs="Arial"/>
                <w:shd w:val="clear" w:color="auto" w:fill="FFFFFF"/>
              </w:rPr>
              <w:t>colectiva</w:t>
            </w:r>
            <w:bookmarkEnd w:id="3"/>
            <w:r w:rsidR="002225C2" w:rsidRPr="002225C2">
              <w:rPr>
                <w:rFonts w:cs="Arial"/>
                <w:shd w:val="clear" w:color="auto" w:fill="FFFFFF"/>
              </w:rPr>
              <w:t>s y/o de grupo que le  permitan desarrollar en debida forma su misionalidad, por lo cual es un deber del  Estado Colombiano garantizar la vida, libertad, integridad, seguridad personal de estos funcionarios y también como instrumento necesario para el éxito del proceso de justicia transicional restaurativo que adelantan.</w:t>
            </w:r>
          </w:p>
          <w:p w14:paraId="3384FBB7" w14:textId="0FB971CD" w:rsidR="002225C2" w:rsidRDefault="002225C2" w:rsidP="00F60C9E">
            <w:pPr>
              <w:jc w:val="both"/>
              <w:rPr>
                <w:rFonts w:cs="Arial"/>
                <w:shd w:val="clear" w:color="auto" w:fill="FFFFFF"/>
              </w:rPr>
            </w:pPr>
          </w:p>
          <w:p w14:paraId="584F828A" w14:textId="7D4FC364" w:rsidR="002225C2" w:rsidRDefault="002225C2" w:rsidP="00F60C9E">
            <w:pPr>
              <w:jc w:val="both"/>
              <w:rPr>
                <w:rFonts w:cs="Arial"/>
                <w:shd w:val="clear" w:color="auto" w:fill="FFFFFF"/>
              </w:rPr>
            </w:pPr>
          </w:p>
          <w:p w14:paraId="7D07DDA5" w14:textId="7B3AF8F8" w:rsidR="002225C2" w:rsidRDefault="00BA5782" w:rsidP="00F60C9E">
            <w:pPr>
              <w:jc w:val="both"/>
              <w:rPr>
                <w:rFonts w:cs="Arial"/>
                <w:shd w:val="clear" w:color="auto" w:fill="FFFFFF"/>
              </w:rPr>
            </w:pPr>
            <w:r w:rsidRPr="00BA5782">
              <w:rPr>
                <w:rFonts w:cs="Arial"/>
                <w:b/>
                <w:bCs/>
                <w:shd w:val="clear" w:color="auto" w:fill="FFFFFF"/>
              </w:rPr>
              <w:t>B)</w:t>
            </w:r>
            <w:r>
              <w:rPr>
                <w:rFonts w:cs="Arial"/>
                <w:b/>
                <w:bCs/>
                <w:shd w:val="clear" w:color="auto" w:fill="FFFFFF"/>
              </w:rPr>
              <w:t xml:space="preserve"> Modificación normativa del </w:t>
            </w:r>
            <w:r w:rsidRPr="00BA5782">
              <w:rPr>
                <w:rFonts w:cs="Arial"/>
                <w:b/>
                <w:bCs/>
                <w:shd w:val="clear" w:color="auto" w:fill="FFFFFF"/>
              </w:rPr>
              <w:t>artículo 2.4.1.2.7 del Decreto 1066 de 2015</w:t>
            </w:r>
            <w:r w:rsidR="006C3292">
              <w:rPr>
                <w:rFonts w:cs="Arial"/>
                <w:b/>
                <w:bCs/>
                <w:shd w:val="clear" w:color="auto" w:fill="FFFFFF"/>
              </w:rPr>
              <w:t>,</w:t>
            </w:r>
            <w:r w:rsidRPr="00BA5782">
              <w:rPr>
                <w:rFonts w:cs="Arial"/>
                <w:b/>
                <w:bCs/>
                <w:shd w:val="clear" w:color="auto" w:fill="FFFFFF"/>
              </w:rPr>
              <w:t xml:space="preserve"> </w:t>
            </w:r>
            <w:r>
              <w:rPr>
                <w:rFonts w:cs="Arial"/>
                <w:b/>
                <w:bCs/>
                <w:shd w:val="clear" w:color="auto" w:fill="FFFFFF"/>
              </w:rPr>
              <w:t>para incluir a los Magistrados del Consejo Nacional Electoral – CNE, como sujetos de protección en virtud del cargo.</w:t>
            </w:r>
          </w:p>
          <w:p w14:paraId="6C891FD8" w14:textId="77777777" w:rsidR="009B164A" w:rsidRPr="00D14A30" w:rsidRDefault="009B164A" w:rsidP="001E638A">
            <w:pPr>
              <w:ind w:right="247"/>
              <w:jc w:val="both"/>
              <w:rPr>
                <w:rFonts w:cs="Arial"/>
                <w:bCs/>
              </w:rPr>
            </w:pPr>
          </w:p>
          <w:p w14:paraId="63979994" w14:textId="631D0FAF" w:rsidR="006E5227" w:rsidRPr="006C3292" w:rsidRDefault="00C96F07" w:rsidP="006C3292">
            <w:pPr>
              <w:tabs>
                <w:tab w:val="left" w:pos="10351"/>
              </w:tabs>
              <w:ind w:right="247"/>
              <w:jc w:val="both"/>
              <w:rPr>
                <w:bCs/>
              </w:rPr>
            </w:pPr>
            <w:r w:rsidRPr="006C3292">
              <w:rPr>
                <w:bCs/>
              </w:rPr>
              <w:t>Por otra parte, frente a</w:t>
            </w:r>
            <w:r w:rsidR="006E5227" w:rsidRPr="006C3292">
              <w:rPr>
                <w:bCs/>
              </w:rPr>
              <w:t xml:space="preserve"> la solicitud </w:t>
            </w:r>
            <w:r w:rsidRPr="006C3292">
              <w:rPr>
                <w:bCs/>
              </w:rPr>
              <w:t xml:space="preserve">del </w:t>
            </w:r>
            <w:r w:rsidR="001E638A" w:rsidRPr="006C3292">
              <w:rPr>
                <w:bCs/>
              </w:rPr>
              <w:t xml:space="preserve">Consejo Nacional Electoral </w:t>
            </w:r>
            <w:r w:rsidR="006E5227" w:rsidRPr="006C3292">
              <w:rPr>
                <w:bCs/>
              </w:rPr>
              <w:t xml:space="preserve">dirigida al señor </w:t>
            </w:r>
            <w:r w:rsidR="006C3292" w:rsidRPr="006C3292">
              <w:rPr>
                <w:bCs/>
              </w:rPr>
              <w:t xml:space="preserve">Presidente </w:t>
            </w:r>
            <w:r w:rsidR="006E5227" w:rsidRPr="006C3292">
              <w:rPr>
                <w:bCs/>
              </w:rPr>
              <w:t xml:space="preserve">de la República radicada mediante oficio del 17 de abril de 2023, </w:t>
            </w:r>
            <w:r w:rsidR="00371E72" w:rsidRPr="006C3292">
              <w:rPr>
                <w:bCs/>
              </w:rPr>
              <w:t xml:space="preserve">en que se </w:t>
            </w:r>
            <w:r w:rsidR="006E5227" w:rsidRPr="006C3292">
              <w:rPr>
                <w:bCs/>
              </w:rPr>
              <w:t>expone</w:t>
            </w:r>
            <w:r w:rsidR="00371E72" w:rsidRPr="006C3292">
              <w:rPr>
                <w:bCs/>
              </w:rPr>
              <w:t>:</w:t>
            </w:r>
            <w:r w:rsidR="006E5227" w:rsidRPr="006C3292">
              <w:rPr>
                <w:bCs/>
              </w:rPr>
              <w:t xml:space="preserve"> </w:t>
            </w:r>
          </w:p>
          <w:p w14:paraId="49EBA333" w14:textId="77777777" w:rsidR="006E5227" w:rsidRPr="00D14A30" w:rsidRDefault="006E5227" w:rsidP="00B7292A">
            <w:pPr>
              <w:tabs>
                <w:tab w:val="left" w:pos="10347"/>
              </w:tabs>
              <w:ind w:left="10347" w:right="247" w:hanging="10347"/>
              <w:jc w:val="both"/>
              <w:rPr>
                <w:bCs/>
              </w:rPr>
            </w:pPr>
          </w:p>
          <w:p w14:paraId="6FE0AC99" w14:textId="6F7CD999" w:rsidR="00F07A68" w:rsidRPr="00D14A30" w:rsidRDefault="00F07A68" w:rsidP="00F07A68">
            <w:pPr>
              <w:ind w:left="709"/>
              <w:contextualSpacing/>
              <w:jc w:val="both"/>
              <w:rPr>
                <w:rFonts w:cs="Arial"/>
                <w:i/>
                <w:iCs/>
              </w:rPr>
            </w:pPr>
            <w:r w:rsidRPr="00D14A30">
              <w:rPr>
                <w:rFonts w:cs="Arial"/>
                <w:i/>
                <w:iCs/>
              </w:rPr>
              <w:t>“La Constitución Política de 1991, en su artículo 264 indica: "El Consejo Nacional Electoral se compondrá de nueve (9) miembros elegidos por el Congreso de la República en pleno, para un período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Justicia (...)" (subrayadas y resaltadas nuestras)</w:t>
            </w:r>
          </w:p>
          <w:p w14:paraId="194A57F4" w14:textId="77777777" w:rsidR="00F07A68" w:rsidRPr="00D14A30" w:rsidRDefault="00F07A68" w:rsidP="00F07A68">
            <w:pPr>
              <w:ind w:left="709"/>
              <w:contextualSpacing/>
              <w:jc w:val="both"/>
              <w:rPr>
                <w:rFonts w:cs="Arial"/>
                <w:i/>
                <w:iCs/>
              </w:rPr>
            </w:pPr>
          </w:p>
          <w:p w14:paraId="541CF48C" w14:textId="77777777" w:rsidR="00F07A68" w:rsidRPr="00D14A30" w:rsidRDefault="00F07A68" w:rsidP="00F07A68">
            <w:pPr>
              <w:ind w:left="709"/>
              <w:contextualSpacing/>
              <w:jc w:val="both"/>
              <w:rPr>
                <w:rFonts w:cs="Arial"/>
                <w:i/>
                <w:iCs/>
              </w:rPr>
            </w:pPr>
            <w:r w:rsidRPr="00D14A30">
              <w:rPr>
                <w:rFonts w:cs="Arial"/>
                <w:i/>
                <w:iCs/>
              </w:rPr>
              <w:t>Basado en lo anterior y sin mayor ejercicio intelectual, es diáfano que los Magistrados integrantes del Consejo Nacional Electoral ostentan las mismas calidades y derechos de los Magistrados de la Corte Suprema de Justicia, es decir, es la propia Carta Política la que asigna, de manera directa, a los integrantes de esta Colegiatura Electoral igualdad de derechos frente a los ya referidos Magistrados de esa Alta Corte.</w:t>
            </w:r>
          </w:p>
          <w:p w14:paraId="75DE6E95" w14:textId="77777777" w:rsidR="00F07A68" w:rsidRPr="00D14A30" w:rsidRDefault="00F07A68" w:rsidP="00F07A68">
            <w:pPr>
              <w:ind w:left="709"/>
              <w:contextualSpacing/>
              <w:jc w:val="both"/>
              <w:rPr>
                <w:rFonts w:cs="Arial"/>
                <w:i/>
                <w:iCs/>
              </w:rPr>
            </w:pPr>
          </w:p>
          <w:p w14:paraId="71452E28" w14:textId="7E123D62" w:rsidR="00F07A68" w:rsidRPr="00D14A30" w:rsidRDefault="00F07A68" w:rsidP="00F07A68">
            <w:pPr>
              <w:ind w:left="709"/>
              <w:contextualSpacing/>
              <w:jc w:val="both"/>
              <w:rPr>
                <w:rFonts w:cs="Arial"/>
                <w:i/>
                <w:iCs/>
              </w:rPr>
            </w:pPr>
            <w:r w:rsidRPr="00D14A30">
              <w:rPr>
                <w:rFonts w:cs="Arial"/>
                <w:i/>
                <w:iCs/>
              </w:rPr>
              <w:t>No obstante, lo anterior, el artículo 2.4.1.2.7 del Decreto 1066 de 2015, relativo a la "Protección de personas en virtud del cargo" no contempla a los Magistrados del Consejo Nacional Electoral como sujetos de protección, razón por la cual la entidad a cargo de la protección de las personas en virtud del cargo, no ha establecido ninguna medida de protección frente a los Magistrados de esta Autoridad Electoral en función del cargo, a pesar que tenemos los mismos derechos que los Magistrados de la Corte Suprema de Justicia tal como lo señala de manera expresa y clara la Constitución Nacional.</w:t>
            </w:r>
          </w:p>
          <w:p w14:paraId="0608A142" w14:textId="77777777" w:rsidR="00F07A68" w:rsidRPr="00D14A30" w:rsidRDefault="00F07A68" w:rsidP="00F07A68">
            <w:pPr>
              <w:ind w:left="709"/>
              <w:contextualSpacing/>
              <w:jc w:val="both"/>
              <w:rPr>
                <w:rFonts w:cs="Arial"/>
                <w:i/>
                <w:iCs/>
              </w:rPr>
            </w:pPr>
          </w:p>
          <w:p w14:paraId="141F03AC" w14:textId="49E87D26" w:rsidR="00F07A68" w:rsidRDefault="00F07A68" w:rsidP="00F07A68">
            <w:pPr>
              <w:ind w:left="709"/>
              <w:contextualSpacing/>
              <w:jc w:val="both"/>
              <w:rPr>
                <w:rFonts w:cs="Arial"/>
                <w:i/>
                <w:iCs/>
              </w:rPr>
            </w:pPr>
            <w:r w:rsidRPr="00D14A30">
              <w:rPr>
                <w:rFonts w:cs="Arial"/>
                <w:i/>
                <w:iCs/>
              </w:rPr>
              <w:t>En consecuencia y dada la cercanía del proceso electoral que por sí mismo tiene una dinámica que exige que tengamos una adecuada protección, y acudiendo a su probada amabilidad y diligencia, le solicitamos encarecidamente sea modificado el artículo 2.4.1.2.7 del Decreto 1066 de 2015, incluyendo a los Magistrados del Consejo Nacional Electoral en el numeral 10 del artículo citado.”</w:t>
            </w:r>
          </w:p>
          <w:p w14:paraId="7715ECFF" w14:textId="3719A0F0" w:rsidR="00AD1CA5" w:rsidRDefault="00AD1CA5" w:rsidP="00F07A68">
            <w:pPr>
              <w:ind w:left="709"/>
              <w:contextualSpacing/>
              <w:jc w:val="both"/>
              <w:rPr>
                <w:i/>
                <w:iCs/>
              </w:rPr>
            </w:pPr>
          </w:p>
          <w:p w14:paraId="6D3FDD51" w14:textId="461A6D3A" w:rsidR="009A33A5" w:rsidRDefault="009A33A5" w:rsidP="00F07A68">
            <w:pPr>
              <w:ind w:left="709"/>
              <w:contextualSpacing/>
              <w:jc w:val="both"/>
              <w:rPr>
                <w:i/>
                <w:iCs/>
              </w:rPr>
            </w:pPr>
          </w:p>
          <w:p w14:paraId="7EDD2D32" w14:textId="061BE349" w:rsidR="009A33A5" w:rsidRDefault="009A33A5" w:rsidP="00F07A68">
            <w:pPr>
              <w:ind w:left="709"/>
              <w:contextualSpacing/>
              <w:jc w:val="both"/>
              <w:rPr>
                <w:i/>
                <w:iCs/>
              </w:rPr>
            </w:pPr>
          </w:p>
          <w:p w14:paraId="76EB0E67" w14:textId="32949009" w:rsidR="009A33A5" w:rsidRDefault="009A33A5" w:rsidP="00F07A68">
            <w:pPr>
              <w:ind w:left="709"/>
              <w:contextualSpacing/>
              <w:jc w:val="both"/>
              <w:rPr>
                <w:i/>
                <w:iCs/>
              </w:rPr>
            </w:pPr>
          </w:p>
          <w:p w14:paraId="0866849C" w14:textId="5FFA1841" w:rsidR="009A33A5" w:rsidRDefault="009A33A5" w:rsidP="00F07A68">
            <w:pPr>
              <w:ind w:left="709"/>
              <w:contextualSpacing/>
              <w:jc w:val="both"/>
              <w:rPr>
                <w:i/>
                <w:iCs/>
              </w:rPr>
            </w:pPr>
          </w:p>
          <w:p w14:paraId="18816FAD" w14:textId="77777777" w:rsidR="009A33A5" w:rsidRPr="00D14A30" w:rsidRDefault="009A33A5" w:rsidP="00F07A68">
            <w:pPr>
              <w:ind w:left="709"/>
              <w:contextualSpacing/>
              <w:jc w:val="both"/>
              <w:rPr>
                <w:i/>
                <w:iCs/>
              </w:rPr>
            </w:pPr>
          </w:p>
          <w:p w14:paraId="743D2D47" w14:textId="33F826A3" w:rsidR="009A33A5" w:rsidRPr="009A33A5" w:rsidRDefault="00404AFE" w:rsidP="009A33A5">
            <w:pPr>
              <w:spacing w:before="100" w:beforeAutospacing="1" w:after="100" w:afterAutospacing="1"/>
              <w:contextualSpacing/>
              <w:jc w:val="both"/>
              <w:rPr>
                <w:rFonts w:cs="Arial"/>
              </w:rPr>
            </w:pPr>
            <w:r>
              <w:rPr>
                <w:rFonts w:cs="Arial"/>
              </w:rPr>
              <w:lastRenderedPageBreak/>
              <w:t>Es cierto, que el</w:t>
            </w:r>
            <w:r w:rsidR="009A33A5" w:rsidRPr="009A33A5">
              <w:rPr>
                <w:rFonts w:cs="Arial"/>
              </w:rPr>
              <w:t xml:space="preserve"> artículo 264 de la Constitución Política fue modificado por el artículo 14 del Acto Legislativo No. 1 de 2003, disponiendo que </w:t>
            </w:r>
            <w:r w:rsidR="009A33A5" w:rsidRPr="009A33A5">
              <w:rPr>
                <w:rFonts w:cs="Arial"/>
                <w:i/>
                <w:iCs/>
              </w:rPr>
              <w:t>“El Consejo Nacional Electoral se compondrá de nueve (9) miembros elegidos por el Congreso de la República en pleno, para un período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Justicia”</w:t>
            </w:r>
          </w:p>
          <w:p w14:paraId="69FF01B7" w14:textId="77777777" w:rsidR="009A33A5" w:rsidRPr="009A33A5" w:rsidRDefault="009A33A5" w:rsidP="009A33A5">
            <w:pPr>
              <w:spacing w:before="100" w:beforeAutospacing="1" w:after="100" w:afterAutospacing="1"/>
              <w:contextualSpacing/>
              <w:jc w:val="both"/>
              <w:rPr>
                <w:rFonts w:cs="Arial"/>
              </w:rPr>
            </w:pPr>
          </w:p>
          <w:p w14:paraId="76F1AC4F" w14:textId="7C2FD417" w:rsidR="009A33A5" w:rsidRPr="009A33A5" w:rsidRDefault="009B7D54" w:rsidP="009A33A5">
            <w:pPr>
              <w:spacing w:before="100" w:beforeAutospacing="1" w:after="100" w:afterAutospacing="1"/>
              <w:contextualSpacing/>
              <w:jc w:val="both"/>
              <w:rPr>
                <w:rFonts w:cs="Arial"/>
              </w:rPr>
            </w:pPr>
            <w:r>
              <w:rPr>
                <w:rFonts w:cs="Arial"/>
              </w:rPr>
              <w:t>E</w:t>
            </w:r>
            <w:r w:rsidR="009A33A5" w:rsidRPr="009A33A5">
              <w:rPr>
                <w:rFonts w:cs="Arial"/>
              </w:rPr>
              <w:t>l artículo 2.4.1.2.7. del Decreto 1066 de 2015, establece la protección de personas en virtud del cargo, especificando en el numeral 10° la protección para los Magistrados de la Corte Constitucional; Corte Suprema de Justicia; Consejo de Estado; Consejo Superior de la Judicatura; Magistrados del Tribunal para la Paz; las Comisionadas y los Comisionados de la Comisión para el Esclarecimiento de la Verdad, la Convivencia y la No Repetición; el Director de la Unidad de Investigación y Acusación de la JEP; y el/la director/a de la Unidad de Búsqueda de Personas dadas por Desaparecidas en el contexto y en razón del conflicto armado. </w:t>
            </w:r>
          </w:p>
          <w:p w14:paraId="306C42F1" w14:textId="77777777" w:rsidR="009A33A5" w:rsidRPr="009A33A5" w:rsidRDefault="009A33A5" w:rsidP="009A33A5">
            <w:pPr>
              <w:spacing w:before="100" w:beforeAutospacing="1" w:after="100" w:afterAutospacing="1"/>
              <w:contextualSpacing/>
              <w:jc w:val="both"/>
              <w:rPr>
                <w:rFonts w:cs="Arial"/>
              </w:rPr>
            </w:pPr>
          </w:p>
          <w:p w14:paraId="04DC94C9" w14:textId="66E387B6" w:rsidR="00371E72" w:rsidRDefault="00C96F07" w:rsidP="00C96F07">
            <w:pPr>
              <w:spacing w:before="100" w:beforeAutospacing="1" w:after="100" w:afterAutospacing="1"/>
              <w:contextualSpacing/>
              <w:jc w:val="both"/>
              <w:rPr>
                <w:bCs/>
              </w:rPr>
            </w:pPr>
            <w:r w:rsidRPr="00D14A30">
              <w:rPr>
                <w:rStyle w:val="spelle"/>
                <w:rFonts w:cs="Arial"/>
              </w:rPr>
              <w:t xml:space="preserve">En relación con esta propuesta, </w:t>
            </w:r>
            <w:r w:rsidR="009B7D54">
              <w:rPr>
                <w:rStyle w:val="spelle"/>
                <w:rFonts w:cs="Arial"/>
              </w:rPr>
              <w:t xml:space="preserve">para que </w:t>
            </w:r>
            <w:r w:rsidR="00371E72" w:rsidRPr="00D14A30">
              <w:rPr>
                <w:rStyle w:val="spelle"/>
                <w:rFonts w:cs="Arial"/>
              </w:rPr>
              <w:t xml:space="preserve">se realice la revisión normativa constitucional y legal; donde en efecto </w:t>
            </w:r>
            <w:r w:rsidRPr="00D14A30">
              <w:rPr>
                <w:rStyle w:val="spelle"/>
                <w:rFonts w:cs="Arial"/>
              </w:rPr>
              <w:t xml:space="preserve">el </w:t>
            </w:r>
            <w:r w:rsidRPr="00D14A30">
              <w:rPr>
                <w:rFonts w:cs="Arial"/>
                <w:bCs/>
              </w:rPr>
              <w:t xml:space="preserve">artículo </w:t>
            </w:r>
            <w:r w:rsidRPr="00D14A30">
              <w:rPr>
                <w:bCs/>
              </w:rPr>
              <w:t xml:space="preserve">264 de la Constitución Política, modificado por el Acto Legislativo No. 1 de 2003 en su artículo 14, dispone que El Consejo Nacional </w:t>
            </w:r>
            <w:r w:rsidR="009A33A5" w:rsidRPr="00D14A30">
              <w:rPr>
                <w:bCs/>
              </w:rPr>
              <w:t>Electoral</w:t>
            </w:r>
            <w:r w:rsidR="009A33A5">
              <w:rPr>
                <w:bCs/>
              </w:rPr>
              <w:t xml:space="preserve"> - CNE</w:t>
            </w:r>
            <w:r w:rsidRPr="00D14A30">
              <w:rPr>
                <w:bCs/>
              </w:rPr>
              <w:t xml:space="preserve"> </w:t>
            </w:r>
            <w:r w:rsidRPr="009A33A5">
              <w:rPr>
                <w:bCs/>
              </w:rPr>
              <w:t>tendrán las mismas</w:t>
            </w:r>
            <w:r w:rsidRPr="00D14A30">
              <w:rPr>
                <w:bCs/>
              </w:rPr>
              <w:t xml:space="preserve"> calidades, inhabilidades, incompatibilidades y derechos de los magistrados de la Corte Suprema de Justicia</w:t>
            </w:r>
            <w:r w:rsidR="00371E72" w:rsidRPr="00D14A30">
              <w:rPr>
                <w:bCs/>
              </w:rPr>
              <w:t>.</w:t>
            </w:r>
          </w:p>
          <w:p w14:paraId="216FB930" w14:textId="77777777" w:rsidR="004B2064" w:rsidRPr="00D14A30" w:rsidRDefault="004B2064" w:rsidP="00C96F07">
            <w:pPr>
              <w:spacing w:before="100" w:beforeAutospacing="1" w:after="100" w:afterAutospacing="1"/>
              <w:contextualSpacing/>
              <w:jc w:val="both"/>
              <w:rPr>
                <w:bCs/>
              </w:rPr>
            </w:pPr>
          </w:p>
          <w:p w14:paraId="1D449872" w14:textId="25EECA2F" w:rsidR="00F07A68" w:rsidRDefault="00371E72" w:rsidP="00371E72">
            <w:pPr>
              <w:ind w:right="247"/>
              <w:jc w:val="both"/>
              <w:rPr>
                <w:rFonts w:cs="Arial"/>
              </w:rPr>
            </w:pPr>
            <w:r w:rsidRPr="00D14A30">
              <w:rPr>
                <w:rFonts w:cs="Arial"/>
                <w:bCs/>
              </w:rPr>
              <w:t xml:space="preserve">En este orden, </w:t>
            </w:r>
            <w:r w:rsidR="00C96F07" w:rsidRPr="00D14A30">
              <w:rPr>
                <w:rFonts w:cs="Arial"/>
                <w:bCs/>
              </w:rPr>
              <w:t>el numeral 10 del artículo 2.4.1.2.7. del Decreto 1066 de 2015, establece que “</w:t>
            </w:r>
            <w:r w:rsidR="00C96F07" w:rsidRPr="00D14A30">
              <w:rPr>
                <w:rFonts w:cs="Arial"/>
                <w:bCs/>
                <w:color w:val="000000"/>
              </w:rPr>
              <w:t>Son personas objeto de protección en virtud del cargo: “</w:t>
            </w:r>
            <w:r w:rsidR="00C96F07" w:rsidRPr="00D14A30">
              <w:rPr>
                <w:rFonts w:cs="Arial"/>
                <w:bCs/>
              </w:rPr>
              <w:t xml:space="preserve"> </w:t>
            </w:r>
            <w:r w:rsidR="00C96F07" w:rsidRPr="00D14A30">
              <w:rPr>
                <w:rFonts w:cs="Arial"/>
                <w:bCs/>
                <w:color w:val="000000"/>
              </w:rPr>
              <w:t>Magistrados de la Corte Constitucional; Corte Suprema de Justicia; Consejo de Estado; Consejo Superior de la Judicatura; Magistrados del Tribunal para la Paz; las Comisionadas y los Comisionados de la Comisión para el Esclarecimiento de la Verdad, la Convivencia y la No Repetición; el Director de la Unidad de Investigación y Acusación de la JEP; y el/la director/a de la Unidad de Búsqueda de Personas dadas por Desaparecidas en el contexto y en razón del conflicto armado</w:t>
            </w:r>
            <w:r w:rsidRPr="00D14A30">
              <w:rPr>
                <w:rFonts w:cs="Arial"/>
                <w:bCs/>
                <w:color w:val="000000"/>
              </w:rPr>
              <w:t xml:space="preserve">; ante lo cual y como quiera que los magistrados del </w:t>
            </w:r>
            <w:r w:rsidRPr="00D14A30">
              <w:rPr>
                <w:bCs/>
              </w:rPr>
              <w:t xml:space="preserve">Consejo Nacional Electoral por mandato constitucional tiene  los mismos derechos de los magistrados de la Corte Suprema de Justicia, según se predica de lo </w:t>
            </w:r>
            <w:r w:rsidR="00F07A68" w:rsidRPr="00D14A30">
              <w:rPr>
                <w:rFonts w:cs="Arial"/>
              </w:rPr>
              <w:t xml:space="preserve">establecido en el artículo 264 de la Constitución Política modificado por el Acto Legislativo No. </w:t>
            </w:r>
            <w:r w:rsidR="00F07A68" w:rsidRPr="00D14A30">
              <w:rPr>
                <w:rFonts w:cs="Arial"/>
                <w:shd w:val="clear" w:color="auto" w:fill="FFFFFF"/>
                <w:lang w:eastAsia="es-CO"/>
              </w:rPr>
              <w:t>01 de 2003,</w:t>
            </w:r>
            <w:r w:rsidR="00F07A68" w:rsidRPr="00D14A30">
              <w:rPr>
                <w:rFonts w:cs="Arial"/>
              </w:rPr>
              <w:t xml:space="preserve"> bajo un test de igualdad es procedente la inclusión</w:t>
            </w:r>
            <w:r w:rsidR="00E744E8" w:rsidRPr="00D14A30">
              <w:rPr>
                <w:rFonts w:cs="Arial"/>
              </w:rPr>
              <w:t xml:space="preserve"> de</w:t>
            </w:r>
            <w:r w:rsidR="00F07A68" w:rsidRPr="00D14A30">
              <w:rPr>
                <w:rFonts w:cs="Arial"/>
              </w:rPr>
              <w:t xml:space="preserve"> los Magistrados del Consejo Nacional Electoral CNE en el numeral 10 del Artículo 2.4.1.2.7 “Protección de </w:t>
            </w:r>
            <w:r w:rsidRPr="00D14A30">
              <w:rPr>
                <w:rFonts w:cs="Arial"/>
              </w:rPr>
              <w:t>p</w:t>
            </w:r>
            <w:r w:rsidR="00F07A68" w:rsidRPr="00D14A30">
              <w:rPr>
                <w:rFonts w:cs="Arial"/>
              </w:rPr>
              <w:t>ersonas en virtud del cargo” del Decreto 1066 de 2015.</w:t>
            </w:r>
          </w:p>
          <w:p w14:paraId="54CF3501" w14:textId="77777777" w:rsidR="001208E7" w:rsidRPr="00D14A30" w:rsidRDefault="001208E7" w:rsidP="00371E72">
            <w:pPr>
              <w:ind w:right="247"/>
              <w:jc w:val="both"/>
              <w:rPr>
                <w:rFonts w:cs="Arial"/>
              </w:rPr>
            </w:pPr>
          </w:p>
          <w:p w14:paraId="34D8444D" w14:textId="77777777" w:rsidR="001208E7" w:rsidRPr="001208E7" w:rsidRDefault="001208E7" w:rsidP="001208E7">
            <w:pPr>
              <w:ind w:right="247"/>
              <w:jc w:val="both"/>
              <w:rPr>
                <w:rFonts w:cs="Arial"/>
                <w:shd w:val="clear" w:color="auto" w:fill="FFFFFF"/>
                <w:lang w:eastAsia="es-CO"/>
              </w:rPr>
            </w:pPr>
            <w:r w:rsidRPr="001208E7">
              <w:rPr>
                <w:rFonts w:cs="Arial"/>
                <w:shd w:val="clear" w:color="auto" w:fill="FFFFFF"/>
                <w:lang w:eastAsia="es-CO"/>
              </w:rPr>
              <w:t>Revisado el escrito del 17 de abril de 2023, presentado por el Consejo Nacional Electoral – CNE solicitó modificar el artículo 2.4.1.2.7 del Decreto 1066 de 2015, para de esta forma incluir a sus Magistrados en el numeral 10 del artículo precitado, como población objeto de protección en razón al cargo, en aplicación del test constitucional de igualdad del artículo 13 de la Constitución Política de Colombia y como el reconocimiento expreso a un derecho consagrado en del artículo 264 de esta misma.</w:t>
            </w:r>
          </w:p>
          <w:p w14:paraId="292FBEDE" w14:textId="4919665C" w:rsidR="004B2064" w:rsidRPr="00D14A30" w:rsidRDefault="004B2064" w:rsidP="00DA7014">
            <w:pPr>
              <w:ind w:right="247"/>
              <w:jc w:val="both"/>
              <w:rPr>
                <w:rFonts w:cs="Arial"/>
                <w:i/>
                <w:iCs/>
                <w:shd w:val="clear" w:color="auto" w:fill="FFFFFF"/>
                <w:lang w:val="es-419" w:eastAsia="es-CO"/>
              </w:rPr>
            </w:pPr>
          </w:p>
        </w:tc>
      </w:tr>
      <w:tr w:rsidR="0026778A" w:rsidRPr="00D14A30" w14:paraId="6F13BD33" w14:textId="77777777" w:rsidTr="0075705D">
        <w:trPr>
          <w:trHeight w:val="47"/>
        </w:trPr>
        <w:tc>
          <w:tcPr>
            <w:tcW w:w="10774" w:type="dxa"/>
            <w:gridSpan w:val="3"/>
            <w:shd w:val="clear" w:color="auto" w:fill="FFFFFF"/>
            <w:vAlign w:val="center"/>
          </w:tcPr>
          <w:p w14:paraId="2A252BF2" w14:textId="77777777" w:rsidR="0026778A" w:rsidRPr="00D14A30" w:rsidRDefault="0026778A" w:rsidP="0026778A">
            <w:pPr>
              <w:jc w:val="both"/>
              <w:rPr>
                <w:lang w:eastAsia="es-CO"/>
              </w:rPr>
            </w:pPr>
          </w:p>
        </w:tc>
      </w:tr>
      <w:tr w:rsidR="0026778A" w:rsidRPr="00D14A30" w14:paraId="19AC45C7"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634E4902" w14:textId="77777777" w:rsidR="0026778A" w:rsidRPr="00D14A30" w:rsidRDefault="0026778A">
            <w:pPr>
              <w:numPr>
                <w:ilvl w:val="0"/>
                <w:numId w:val="1"/>
              </w:numPr>
              <w:rPr>
                <w:rFonts w:cs="Arial"/>
                <w:b/>
                <w:color w:val="000000"/>
              </w:rPr>
            </w:pPr>
            <w:r w:rsidRPr="00D14A30">
              <w:rPr>
                <w:rFonts w:cs="Arial"/>
                <w:b/>
                <w:color w:val="000000"/>
              </w:rPr>
              <w:t>AMBITO DE APLICACIÓN Y SUJETOS A QUIENES VA DIRIGIDO</w:t>
            </w:r>
          </w:p>
          <w:p w14:paraId="4D53B8C1" w14:textId="77777777" w:rsidR="00371728" w:rsidRPr="00D14A30" w:rsidRDefault="00371728" w:rsidP="00371728">
            <w:pPr>
              <w:ind w:left="720"/>
              <w:rPr>
                <w:rFonts w:cs="Arial"/>
                <w:b/>
                <w:color w:val="000000"/>
              </w:rPr>
            </w:pPr>
          </w:p>
          <w:p w14:paraId="1FE39497" w14:textId="77777777" w:rsidR="00371728" w:rsidRPr="00D14A30" w:rsidRDefault="00371728" w:rsidP="00371728">
            <w:pPr>
              <w:jc w:val="both"/>
              <w:rPr>
                <w:rFonts w:cs="Arial"/>
                <w:shd w:val="clear" w:color="auto" w:fill="FFFFFF"/>
                <w:lang w:eastAsia="es-CO"/>
              </w:rPr>
            </w:pPr>
            <w:r w:rsidRPr="00D14A30">
              <w:rPr>
                <w:rFonts w:cs="Arial"/>
                <w:iCs/>
                <w:lang w:val="es-CO" w:eastAsia="es-CO"/>
              </w:rPr>
              <w:t>De conformidad con el numeral 11 del artículo 189 de la Constitución Política de Colombia, corresponde al presidente de la República “</w:t>
            </w:r>
            <w:r w:rsidRPr="00D14A30">
              <w:t xml:space="preserve">Ejercer la potestad reglamentaria, mediante la expedición de los decretos, resoluciones y ordenes necesarios para la cumplida ejecución de las leyes.” En este caso para dar aplicabilidad al artículo 81 de la Ley 418 de 1997, con el cual se crea el Programa de Prevención y Protección reglamentado </w:t>
            </w:r>
            <w:r w:rsidRPr="00D14A30">
              <w:rPr>
                <w:rFonts w:cs="Arial"/>
                <w:shd w:val="clear" w:color="auto" w:fill="FFFFFF"/>
                <w:lang w:val="es-CO" w:eastAsia="es-CO"/>
              </w:rPr>
              <w:t>Titulo 1 de la parte 4 del libro 2 del Decreto 1066 de 2015</w:t>
            </w:r>
            <w:r w:rsidRPr="00D14A30">
              <w:t xml:space="preserve">; ello en concordancia con las facultades establecidas en el artículo 2.4.1.2.50 del Decreto 1066 de 2015 donde se faculta al </w:t>
            </w:r>
            <w:r w:rsidRPr="00D14A30">
              <w:rPr>
                <w:rFonts w:cs="Arial"/>
                <w:shd w:val="clear" w:color="auto" w:fill="FFFFFF"/>
                <w:lang w:eastAsia="es-CO"/>
              </w:rPr>
              <w:t xml:space="preserve">Ministerio del Interior para reglamentar la aplicación del programa a las poblaciones objeto </w:t>
            </w:r>
          </w:p>
          <w:p w14:paraId="78C81B7A" w14:textId="77777777" w:rsidR="00BA6EFD" w:rsidRPr="00D14A30" w:rsidRDefault="00BA6EFD" w:rsidP="0026778A">
            <w:pPr>
              <w:jc w:val="both"/>
              <w:rPr>
                <w:rFonts w:cs="Arial"/>
                <w:iCs/>
                <w:lang w:val="es-CO" w:eastAsia="es-CO"/>
              </w:rPr>
            </w:pPr>
          </w:p>
          <w:p w14:paraId="2FD3011F" w14:textId="77777777" w:rsidR="00766A2A" w:rsidRPr="00D14A30" w:rsidRDefault="00371728" w:rsidP="00766A2A">
            <w:pPr>
              <w:jc w:val="both"/>
              <w:rPr>
                <w:rFonts w:cs="Arial"/>
                <w:lang w:eastAsia="es-CO"/>
              </w:rPr>
            </w:pPr>
            <w:r w:rsidRPr="00D14A30">
              <w:rPr>
                <w:rFonts w:cs="Arial"/>
                <w:lang w:eastAsia="es-CO"/>
              </w:rPr>
              <w:t xml:space="preserve">Por </w:t>
            </w:r>
            <w:r w:rsidR="00224FAB" w:rsidRPr="00D14A30">
              <w:rPr>
                <w:rFonts w:cs="Arial"/>
                <w:lang w:eastAsia="es-CO"/>
              </w:rPr>
              <w:t>tanto,</w:t>
            </w:r>
            <w:r w:rsidRPr="00D14A30">
              <w:rPr>
                <w:rFonts w:cs="Arial"/>
                <w:lang w:eastAsia="es-CO"/>
              </w:rPr>
              <w:t xml:space="preserve"> e</w:t>
            </w:r>
            <w:r w:rsidR="006A3D8A" w:rsidRPr="00D14A30">
              <w:rPr>
                <w:rFonts w:cs="Arial"/>
                <w:lang w:eastAsia="es-CO"/>
              </w:rPr>
              <w:t>l ámbito de aplicación será en el nivel nacional y los sujetos a quienes va dirigido</w:t>
            </w:r>
            <w:r w:rsidR="00227B09" w:rsidRPr="00D14A30">
              <w:rPr>
                <w:rFonts w:cs="Arial"/>
                <w:lang w:eastAsia="es-CO"/>
              </w:rPr>
              <w:t>: M</w:t>
            </w:r>
            <w:r w:rsidR="00227B09" w:rsidRPr="00D14A30">
              <w:rPr>
                <w:rFonts w:cs="Arial"/>
              </w:rPr>
              <w:t xml:space="preserve">agistrados de las Salas de reconocimiento de verdad, de responsabilidad y de determinación de los hechos y conductas, </w:t>
            </w:r>
            <w:r w:rsidR="00227B09" w:rsidRPr="00D14A30">
              <w:rPr>
                <w:rFonts w:cs="Arial"/>
                <w:shd w:val="clear" w:color="auto" w:fill="FFFFFF"/>
              </w:rPr>
              <w:t>los Fiscales ante las Salas y Secciones y el Secretario Ejecutivo de la JEP</w:t>
            </w:r>
            <w:r w:rsidRPr="00D14A30">
              <w:rPr>
                <w:rFonts w:cs="Arial"/>
                <w:shd w:val="clear" w:color="auto" w:fill="FFFFFF"/>
              </w:rPr>
              <w:t>,</w:t>
            </w:r>
            <w:r w:rsidR="00227B09" w:rsidRPr="00D14A30">
              <w:rPr>
                <w:rFonts w:cs="Arial"/>
                <w:shd w:val="clear" w:color="auto" w:fill="FFFFFF"/>
              </w:rPr>
              <w:t xml:space="preserve"> como a </w:t>
            </w:r>
            <w:r w:rsidR="006A3D8A" w:rsidRPr="00D14A30">
              <w:rPr>
                <w:rFonts w:cs="Arial"/>
                <w:lang w:eastAsia="es-CO"/>
              </w:rPr>
              <w:t>los Magistrados del Consejo Nacional Electoral</w:t>
            </w:r>
            <w:r w:rsidR="00227B09" w:rsidRPr="00D14A30">
              <w:rPr>
                <w:rFonts w:cs="Arial"/>
                <w:lang w:eastAsia="es-CO"/>
              </w:rPr>
              <w:t>.</w:t>
            </w:r>
          </w:p>
          <w:p w14:paraId="4CDEC805" w14:textId="77777777" w:rsidR="00766A2A" w:rsidRPr="00D14A30" w:rsidRDefault="00766A2A" w:rsidP="00766A2A">
            <w:pPr>
              <w:jc w:val="both"/>
              <w:rPr>
                <w:rFonts w:cs="Arial"/>
                <w:iCs/>
                <w:color w:val="000000"/>
              </w:rPr>
            </w:pPr>
          </w:p>
        </w:tc>
      </w:tr>
      <w:tr w:rsidR="0026778A" w:rsidRPr="00D14A30" w14:paraId="25CD07E2" w14:textId="77777777" w:rsidTr="0075705D">
        <w:trPr>
          <w:trHeight w:val="278"/>
        </w:trPr>
        <w:tc>
          <w:tcPr>
            <w:tcW w:w="10774" w:type="dxa"/>
            <w:gridSpan w:val="3"/>
            <w:tcBorders>
              <w:bottom w:val="single" w:sz="4" w:space="0" w:color="auto"/>
            </w:tcBorders>
            <w:shd w:val="clear" w:color="auto" w:fill="FFFFFF"/>
            <w:vAlign w:val="center"/>
          </w:tcPr>
          <w:p w14:paraId="00FDB498" w14:textId="77777777" w:rsidR="0026778A" w:rsidRPr="00D14A30" w:rsidRDefault="0026778A" w:rsidP="0026778A">
            <w:pPr>
              <w:ind w:left="494" w:hanging="283"/>
              <w:jc w:val="both"/>
              <w:rPr>
                <w:rFonts w:cs="Arial"/>
                <w:b/>
                <w:bCs/>
                <w:lang w:val="es-CO" w:eastAsia="es-CO"/>
              </w:rPr>
            </w:pPr>
            <w:r w:rsidRPr="00D14A30">
              <w:rPr>
                <w:rFonts w:cs="Arial"/>
                <w:b/>
                <w:bCs/>
                <w:lang w:val="es-CO" w:eastAsia="es-CO"/>
              </w:rPr>
              <w:t>3. VIABILIDAD JURÍDICA</w:t>
            </w:r>
          </w:p>
          <w:p w14:paraId="2005E1C5" w14:textId="77777777" w:rsidR="0026778A" w:rsidRPr="00D14A30" w:rsidRDefault="0026778A" w:rsidP="0026778A">
            <w:pPr>
              <w:ind w:left="494" w:hanging="283"/>
              <w:jc w:val="both"/>
              <w:rPr>
                <w:rFonts w:cs="Arial"/>
                <w:lang w:val="es-CO" w:eastAsia="es-CO"/>
              </w:rPr>
            </w:pPr>
          </w:p>
          <w:p w14:paraId="1CB2FF0A" w14:textId="77777777" w:rsidR="0026778A" w:rsidRPr="00D14A30" w:rsidRDefault="0026778A" w:rsidP="0026778A">
            <w:pPr>
              <w:ind w:left="494" w:hanging="283"/>
              <w:jc w:val="both"/>
              <w:rPr>
                <w:rFonts w:cs="Arial"/>
                <w:b/>
                <w:bCs/>
                <w:lang w:val="es-CO" w:eastAsia="es-CO"/>
              </w:rPr>
            </w:pPr>
            <w:r w:rsidRPr="00D14A30">
              <w:rPr>
                <w:rFonts w:cs="Arial"/>
                <w:b/>
                <w:bCs/>
                <w:lang w:val="es-CO" w:eastAsia="es-CO"/>
              </w:rPr>
              <w:t>3.1 Análisis de las normas que otorgan la competencia para la expedición del proyecto normativo</w:t>
            </w:r>
          </w:p>
          <w:p w14:paraId="19EED1A7" w14:textId="77777777" w:rsidR="0026778A" w:rsidRPr="00D14A30" w:rsidRDefault="0026778A" w:rsidP="0026778A">
            <w:pPr>
              <w:ind w:left="494" w:hanging="283"/>
              <w:jc w:val="both"/>
              <w:rPr>
                <w:rFonts w:cs="Arial"/>
                <w:lang w:val="es-CO" w:eastAsia="es-CO"/>
              </w:rPr>
            </w:pPr>
          </w:p>
          <w:p w14:paraId="79EDB989" w14:textId="77777777" w:rsidR="0026778A" w:rsidRPr="00D14A30" w:rsidRDefault="0026778A" w:rsidP="00BA6EFD">
            <w:pPr>
              <w:jc w:val="both"/>
              <w:rPr>
                <w:rFonts w:cs="Arial"/>
                <w:lang w:val="es-CO" w:eastAsia="es-CO"/>
              </w:rPr>
            </w:pPr>
            <w:r w:rsidRPr="00D14A30">
              <w:rPr>
                <w:rFonts w:cs="Arial"/>
                <w:lang w:val="es-CO" w:eastAsia="es-CO"/>
              </w:rPr>
              <w:t>Se trata de una norma reglamentaria la cual se expide bajo las facultades conferidas por los artículos 189 numeral 11 superior</w:t>
            </w:r>
            <w:r w:rsidR="00087D64" w:rsidRPr="00D14A30">
              <w:rPr>
                <w:rFonts w:cs="Arial"/>
                <w:lang w:val="es-CO" w:eastAsia="es-CO"/>
              </w:rPr>
              <w:t>,</w:t>
            </w:r>
            <w:r w:rsidRPr="00D14A30">
              <w:rPr>
                <w:rFonts w:cs="Arial"/>
                <w:lang w:val="es-CO" w:eastAsia="es-CO"/>
              </w:rPr>
              <w:t xml:space="preserve"> con la que se busca reglamentar la Ley </w:t>
            </w:r>
            <w:r w:rsidR="006A3D8A" w:rsidRPr="00D14A30">
              <w:rPr>
                <w:rFonts w:cs="Arial"/>
                <w:lang w:val="es-CO" w:eastAsia="es-CO"/>
              </w:rPr>
              <w:t>418 de 1997</w:t>
            </w:r>
            <w:r w:rsidR="00087D64" w:rsidRPr="00D14A30">
              <w:rPr>
                <w:rFonts w:cs="Arial"/>
                <w:lang w:val="es-CO" w:eastAsia="es-CO"/>
              </w:rPr>
              <w:t xml:space="preserve"> en el Decreto 1066 de 2015</w:t>
            </w:r>
            <w:r w:rsidR="006A3D8A" w:rsidRPr="00D14A30">
              <w:rPr>
                <w:rFonts w:cs="Arial"/>
                <w:lang w:val="es-CO" w:eastAsia="es-CO"/>
              </w:rPr>
              <w:t>, con todas sus reformas y prórrogas</w:t>
            </w:r>
            <w:r w:rsidRPr="00D14A30">
              <w:rPr>
                <w:rFonts w:cs="Arial"/>
                <w:lang w:val="es-CO" w:eastAsia="es-CO"/>
              </w:rPr>
              <w:t xml:space="preserve">. </w:t>
            </w:r>
          </w:p>
          <w:p w14:paraId="2FF3B85D" w14:textId="77777777" w:rsidR="0026778A" w:rsidRPr="00D14A30" w:rsidRDefault="0026778A" w:rsidP="0026778A">
            <w:pPr>
              <w:ind w:left="494" w:hanging="283"/>
              <w:jc w:val="both"/>
              <w:rPr>
                <w:rFonts w:cs="Arial"/>
                <w:b/>
                <w:bCs/>
                <w:lang w:val="es-CO" w:eastAsia="es-CO"/>
              </w:rPr>
            </w:pPr>
          </w:p>
          <w:p w14:paraId="33F4A61F" w14:textId="77777777" w:rsidR="0026778A" w:rsidRPr="00D14A30" w:rsidRDefault="0026778A" w:rsidP="0026778A">
            <w:pPr>
              <w:ind w:left="494" w:hanging="283"/>
              <w:jc w:val="both"/>
              <w:rPr>
                <w:rFonts w:cs="Arial"/>
                <w:b/>
                <w:bCs/>
                <w:lang w:val="es-CO" w:eastAsia="es-CO"/>
              </w:rPr>
            </w:pPr>
            <w:r w:rsidRPr="00D14A30">
              <w:rPr>
                <w:rFonts w:cs="Arial"/>
                <w:b/>
                <w:bCs/>
                <w:lang w:val="es-CO" w:eastAsia="es-CO"/>
              </w:rPr>
              <w:t>3.2 Vigencia de la ley o norma reglamentada o desarrollada</w:t>
            </w:r>
          </w:p>
          <w:p w14:paraId="4B95C109" w14:textId="77777777" w:rsidR="0026778A" w:rsidRPr="00D14A30" w:rsidRDefault="0026778A" w:rsidP="0026778A">
            <w:pPr>
              <w:ind w:left="494" w:hanging="283"/>
              <w:jc w:val="both"/>
              <w:rPr>
                <w:rFonts w:cs="Arial"/>
                <w:b/>
                <w:bCs/>
                <w:lang w:val="es-CO" w:eastAsia="es-CO"/>
              </w:rPr>
            </w:pPr>
          </w:p>
          <w:p w14:paraId="4B1B64F0" w14:textId="77777777" w:rsidR="0026778A" w:rsidRPr="00D14A30" w:rsidRDefault="00087D64" w:rsidP="00BA6EFD">
            <w:pPr>
              <w:jc w:val="both"/>
              <w:rPr>
                <w:rFonts w:cs="Arial"/>
                <w:lang w:val="es-CO" w:eastAsia="es-CO"/>
              </w:rPr>
            </w:pPr>
            <w:r w:rsidRPr="00D14A30">
              <w:rPr>
                <w:rFonts w:cs="Arial"/>
                <w:lang w:val="es-CO" w:eastAsia="es-CO"/>
              </w:rPr>
              <w:t>A partir de la expedición y sanción del Decreto que se formalice para la modificación del decreto 1066 de 2015.</w:t>
            </w:r>
          </w:p>
          <w:p w14:paraId="74FC2FE3" w14:textId="77777777" w:rsidR="0026778A" w:rsidRPr="00D14A30" w:rsidRDefault="0026778A" w:rsidP="0026778A">
            <w:pPr>
              <w:ind w:left="494" w:hanging="283"/>
              <w:jc w:val="both"/>
              <w:rPr>
                <w:rFonts w:cs="Arial"/>
                <w:lang w:val="es-CO" w:eastAsia="es-CO"/>
              </w:rPr>
            </w:pPr>
          </w:p>
          <w:p w14:paraId="09C61C77" w14:textId="77777777" w:rsidR="0026778A" w:rsidRPr="00D14A30" w:rsidRDefault="0026778A" w:rsidP="0026778A">
            <w:pPr>
              <w:ind w:left="494" w:hanging="283"/>
              <w:jc w:val="both"/>
              <w:rPr>
                <w:rFonts w:cs="Arial"/>
                <w:b/>
                <w:bCs/>
                <w:lang w:val="es-CO" w:eastAsia="es-CO"/>
              </w:rPr>
            </w:pPr>
            <w:r w:rsidRPr="00D14A30">
              <w:rPr>
                <w:rFonts w:cs="Arial"/>
                <w:b/>
                <w:bCs/>
                <w:lang w:val="es-CO" w:eastAsia="es-CO"/>
              </w:rPr>
              <w:t xml:space="preserve">3.3. Disposiciones derogas, subrogadas, modificadas, adicionadas o sustituidas </w:t>
            </w:r>
          </w:p>
          <w:p w14:paraId="103EC498" w14:textId="77777777" w:rsidR="0026778A" w:rsidRPr="00D14A30" w:rsidRDefault="0026778A" w:rsidP="0026778A">
            <w:pPr>
              <w:ind w:left="494" w:hanging="283"/>
              <w:jc w:val="both"/>
              <w:rPr>
                <w:rFonts w:cs="Arial"/>
                <w:lang w:val="es-CO" w:eastAsia="es-CO"/>
              </w:rPr>
            </w:pPr>
          </w:p>
          <w:p w14:paraId="5308BA02" w14:textId="77777777" w:rsidR="00AC1EA7" w:rsidRPr="00D14A30" w:rsidRDefault="00087D64" w:rsidP="00CB5452">
            <w:pPr>
              <w:ind w:right="12"/>
              <w:jc w:val="both"/>
              <w:rPr>
                <w:rFonts w:cs="Arial"/>
              </w:rPr>
            </w:pPr>
            <w:r w:rsidRPr="00D14A30">
              <w:rPr>
                <w:rFonts w:cs="Arial"/>
              </w:rPr>
              <w:t>S</w:t>
            </w:r>
            <w:r w:rsidR="00AC1EA7" w:rsidRPr="00D14A30">
              <w:rPr>
                <w:rFonts w:cs="Arial"/>
              </w:rPr>
              <w:t xml:space="preserve">e modifica </w:t>
            </w:r>
            <w:r w:rsidRPr="00D14A30">
              <w:rPr>
                <w:rFonts w:cs="Arial"/>
              </w:rPr>
              <w:t>los parágrafos 1 y 2 del artículo 2.4.1.2.6; e</w:t>
            </w:r>
            <w:r w:rsidR="00AC1EA7" w:rsidRPr="00D14A30">
              <w:rPr>
                <w:rFonts w:cs="Arial"/>
              </w:rPr>
              <w:t xml:space="preserve">l </w:t>
            </w:r>
            <w:r w:rsidR="00AC1EA7" w:rsidRPr="00D14A30">
              <w:rPr>
                <w:rStyle w:val="Textoennegrita"/>
                <w:b w:val="0"/>
                <w:color w:val="000000"/>
              </w:rPr>
              <w:t xml:space="preserve">numeral 10 </w:t>
            </w:r>
            <w:r w:rsidRPr="00D14A30">
              <w:rPr>
                <w:rStyle w:val="Textoennegrita"/>
                <w:b w:val="0"/>
                <w:color w:val="000000"/>
              </w:rPr>
              <w:t xml:space="preserve">del </w:t>
            </w:r>
            <w:r w:rsidR="00AC1EA7" w:rsidRPr="00D14A30">
              <w:rPr>
                <w:rStyle w:val="Textoennegrita"/>
                <w:b w:val="0"/>
                <w:color w:val="000000"/>
              </w:rPr>
              <w:t xml:space="preserve">artículo 2.4.1.2.7. </w:t>
            </w:r>
            <w:r w:rsidR="00AC1EA7" w:rsidRPr="00D14A30">
              <w:rPr>
                <w:rFonts w:cs="Arial"/>
              </w:rPr>
              <w:t xml:space="preserve">del Capítulo 2, Título 1, Parte 4 del Libro 2 del Decreto 1066 de 2015 Único Reglamentario del Sector Administrativo del Interior, en lo que hace referencia a los Programas de Prevención y Protección de los derechos a la vida, la libertad, la integridad y la seguridad de personas, grupos y comunidades </w:t>
            </w:r>
          </w:p>
          <w:p w14:paraId="10D4C0D0" w14:textId="77777777" w:rsidR="0026778A" w:rsidRPr="00D14A30" w:rsidRDefault="0026778A" w:rsidP="00CB5452">
            <w:pPr>
              <w:ind w:left="494" w:right="12" w:hanging="283"/>
              <w:jc w:val="both"/>
              <w:rPr>
                <w:rFonts w:cs="Arial"/>
                <w:lang w:val="es-CO" w:eastAsia="es-CO"/>
              </w:rPr>
            </w:pPr>
          </w:p>
          <w:p w14:paraId="4CF5961F" w14:textId="77777777" w:rsidR="0026778A" w:rsidRPr="00D14A30" w:rsidRDefault="0026778A" w:rsidP="0026778A">
            <w:pPr>
              <w:ind w:left="494" w:hanging="283"/>
              <w:jc w:val="both"/>
              <w:rPr>
                <w:rFonts w:cs="Arial"/>
                <w:b/>
                <w:bCs/>
                <w:lang w:val="es-CO" w:eastAsia="es-CO"/>
              </w:rPr>
            </w:pPr>
            <w:r w:rsidRPr="00D14A30">
              <w:rPr>
                <w:rFonts w:cs="Arial"/>
                <w:b/>
                <w:bCs/>
                <w:lang w:val="es-CO" w:eastAsia="es-CO"/>
              </w:rPr>
              <w:t>3.4 Revisión y análisis de la jurisprudencia que tenga impacto o sea relevante para la expedición del proyecto normativo (órganos de cierre de cada jurisdicción)</w:t>
            </w:r>
          </w:p>
          <w:p w14:paraId="048D03B3" w14:textId="77777777" w:rsidR="008912EC" w:rsidRPr="00D14A30" w:rsidRDefault="008912EC" w:rsidP="0026778A">
            <w:pPr>
              <w:jc w:val="both"/>
              <w:rPr>
                <w:rFonts w:eastAsia="Calibri" w:cs="Arial"/>
                <w:lang w:val="es-CO" w:eastAsia="en-US"/>
              </w:rPr>
            </w:pPr>
          </w:p>
          <w:p w14:paraId="30D394BD" w14:textId="77777777" w:rsidR="00DA7014" w:rsidRPr="00D14A30" w:rsidRDefault="009B164A" w:rsidP="00DA7014">
            <w:pPr>
              <w:shd w:val="clear" w:color="auto" w:fill="FFFFFF"/>
              <w:tabs>
                <w:tab w:val="left" w:pos="426"/>
              </w:tabs>
              <w:spacing w:after="100" w:afterAutospacing="1"/>
              <w:contextualSpacing/>
              <w:jc w:val="both"/>
              <w:rPr>
                <w:rFonts w:cs="Arial"/>
              </w:rPr>
            </w:pPr>
            <w:r w:rsidRPr="00D14A30">
              <w:rPr>
                <w:rFonts w:eastAsia="Calibri" w:cs="Arial"/>
                <w:shd w:val="clear" w:color="auto" w:fill="FFFFFF"/>
                <w:lang w:val="es-CO" w:eastAsia="en-US"/>
              </w:rPr>
              <w:t>La</w:t>
            </w:r>
            <w:r w:rsidR="00DA7014" w:rsidRPr="00D14A30">
              <w:rPr>
                <w:rFonts w:eastAsia="Calibri" w:cs="Arial"/>
                <w:shd w:val="clear" w:color="auto" w:fill="FFFFFF"/>
                <w:lang w:val="es-CO" w:eastAsia="en-US"/>
              </w:rPr>
              <w:t xml:space="preserve"> jurisprudencial aplicable a la población objeto, e</w:t>
            </w:r>
            <w:r w:rsidR="00DA7014" w:rsidRPr="00D14A30">
              <w:rPr>
                <w:rFonts w:cs="Arial"/>
              </w:rPr>
              <w:t xml:space="preserve">n los procesos de evaluación de riesgo, se da aplicación estricta a las consideraciones de la Corte Constitucional en su nutrida jurisprudencia relacionada con la protección a los derechos fundamentales a la seguridad personal, la   libertad, la integridad personal y la vida, contemplados en la Ley 418 de 1997 con la cual se crea el Programa de Prevención y Protección, reglamentado </w:t>
            </w:r>
            <w:r w:rsidR="00DA7014" w:rsidRPr="00D14A30">
              <w:rPr>
                <w:rFonts w:cs="Arial"/>
                <w:lang w:eastAsia="es-CO"/>
              </w:rPr>
              <w:t xml:space="preserve">actualmente en el </w:t>
            </w:r>
            <w:r w:rsidR="00DA7014" w:rsidRPr="00D14A30">
              <w:rPr>
                <w:rFonts w:cs="Arial"/>
                <w:iCs/>
                <w:lang w:eastAsia="es-CO"/>
              </w:rPr>
              <w:t xml:space="preserve"> Título I, de la Parte 4, del Libro 2, del Decreto 1066 de 2015, junto a los Decretos que adicional y modifican esta parte. </w:t>
            </w:r>
          </w:p>
          <w:p w14:paraId="3FFDDEAB"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r w:rsidRPr="00D14A30">
              <w:rPr>
                <w:rFonts w:ascii="Arial" w:hAnsi="Arial" w:cs="Arial"/>
                <w:sz w:val="20"/>
                <w:szCs w:val="20"/>
                <w:lang w:val="es-ES"/>
              </w:rPr>
              <w:t xml:space="preserve">Comenzamos por citar la sentencia T-719 de 2003, que nos aporta el procedimiento para analizar las características del riesgo, las cuales consisten en: </w:t>
            </w:r>
          </w:p>
          <w:p w14:paraId="09540EF4"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p>
          <w:p w14:paraId="78CE6F65"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r w:rsidRPr="00D14A30">
              <w:rPr>
                <w:rFonts w:ascii="Arial" w:eastAsia="Times New Roman" w:hAnsi="Arial" w:cs="Arial"/>
                <w:sz w:val="20"/>
                <w:szCs w:val="20"/>
                <w:lang w:val="es-ES" w:eastAsia="es-MX"/>
              </w:rPr>
              <w:t>Para el Riesgo Ordinario:</w:t>
            </w:r>
          </w:p>
          <w:p w14:paraId="22945DD8"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p>
          <w:p w14:paraId="30E0ED87" w14:textId="77777777" w:rsidR="00DA7014" w:rsidRPr="00D14A30" w:rsidRDefault="00DA7014" w:rsidP="00DA7014">
            <w:pPr>
              <w:pStyle w:val="wordsection1"/>
              <w:autoSpaceDE w:val="0"/>
              <w:autoSpaceDN w:val="0"/>
              <w:spacing w:line="0" w:lineRule="atLeast"/>
              <w:ind w:left="426"/>
              <w:jc w:val="both"/>
              <w:rPr>
                <w:rFonts w:ascii="Arial" w:eastAsia="Times New Roman" w:hAnsi="Arial" w:cs="Arial"/>
                <w:i/>
                <w:iCs/>
                <w:sz w:val="20"/>
                <w:szCs w:val="20"/>
                <w:lang w:val="es-ES" w:eastAsia="es-MX"/>
              </w:rPr>
            </w:pPr>
            <w:r w:rsidRPr="00D14A30">
              <w:rPr>
                <w:rFonts w:ascii="Arial" w:eastAsia="Times New Roman" w:hAnsi="Arial" w:cs="Arial"/>
                <w:i/>
                <w:iCs/>
                <w:sz w:val="20"/>
                <w:szCs w:val="20"/>
                <w:bdr w:val="none" w:sz="0" w:space="0" w:color="auto" w:frame="1"/>
                <w:lang w:eastAsia="es-CO"/>
              </w:rPr>
              <w:t>“Nivel de riesgo ordinario, soportado por igual por quienes viven en sociedad. Se trata de los riesgos ordinarios, implícitos en la vida social, a los que se hizo referencia al principio de este acápite. A diferencia de los riesgos mínimos, que son de índole individual y biológica, los riesgos ordinarios que deben tolerar las personas por su pertenencia a una determinada sociedad pueden provenir de factores externos a la persona –la acción del Estado, la convivencia con otras personas, desastres naturales -, o de la persona misma. El Estado, por la finalidad que le es propia, debe adoptar medidas generales para preservar a la sociedad de este tipo de riesgos…”</w:t>
            </w:r>
            <w:r w:rsidRPr="00D14A30">
              <w:rPr>
                <w:rFonts w:ascii="Arial" w:eastAsia="Times New Roman" w:hAnsi="Arial" w:cs="Arial"/>
                <w:i/>
                <w:iCs/>
                <w:sz w:val="20"/>
                <w:szCs w:val="20"/>
                <w:lang w:val="es-ES" w:eastAsia="es-MX"/>
              </w:rPr>
              <w:t xml:space="preserve"> </w:t>
            </w:r>
          </w:p>
          <w:p w14:paraId="40052783"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p>
          <w:p w14:paraId="20C9B3C5"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r w:rsidRPr="00D14A30">
              <w:rPr>
                <w:rFonts w:ascii="Arial" w:hAnsi="Arial" w:cs="Arial"/>
                <w:sz w:val="20"/>
                <w:szCs w:val="20"/>
                <w:lang w:val="es-ES"/>
              </w:rPr>
              <w:t xml:space="preserve">Para el riesgo extraordinario: </w:t>
            </w:r>
          </w:p>
          <w:p w14:paraId="7502449C"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p>
          <w:p w14:paraId="730F0FC7" w14:textId="77777777" w:rsidR="00DA7014" w:rsidRPr="00D14A30" w:rsidRDefault="00DA7014" w:rsidP="00DA7014">
            <w:pPr>
              <w:pStyle w:val="wordsection1"/>
              <w:autoSpaceDE w:val="0"/>
              <w:autoSpaceDN w:val="0"/>
              <w:spacing w:line="0" w:lineRule="atLeast"/>
              <w:ind w:left="426"/>
              <w:jc w:val="both"/>
              <w:rPr>
                <w:rFonts w:ascii="Arial" w:eastAsia="Times New Roman" w:hAnsi="Arial" w:cs="Arial"/>
                <w:i/>
                <w:iCs/>
                <w:sz w:val="20"/>
                <w:szCs w:val="20"/>
                <w:lang w:eastAsia="es-MX"/>
              </w:rPr>
            </w:pPr>
            <w:r w:rsidRPr="00D14A30">
              <w:rPr>
                <w:rFonts w:ascii="Arial" w:hAnsi="Arial" w:cs="Arial"/>
                <w:i/>
                <w:iCs/>
                <w:sz w:val="20"/>
                <w:szCs w:val="20"/>
              </w:rPr>
              <w:t>“Para establecer si un riesgo puesto en conocimiento de las autoridades tiene una intensidad suficiente como para ser extraordinario, el funcionario correspondiente debe analizar si confluyen en él algunas de las siguientes características: (i) debe ser específico e individualizable, es decir, no debe tratarse de un riesgo genérico; (ii) debe ser concreto, es decir, estar basado en acciones o hechos particulares y manifiestos, y no en suposiciones abstractas; (iii) debe ser presente, esto es, no remoto ni eventual; (iv) debe ser importante, es decir, que amenace con lesionar bienes o intereses jurídicos valiosos para el sujeto, por lo cual no puede tratarse de un riesgo menor; (v) debe ser un riesgo serio, de materialización probable por las circunstancias del caso, por lo cual no puede ser improbable; (vi) debe tratarse de un riesgo claro y discernible, no de una contingencia o peligro difuso; (vii) debe ser un riesgo excepcional, en la medida en que no es uno que deba ser soportado por la generalidad de los individuos; y (viii) debe ser desproporcionado, frente a los beneficios que deriva la persona de la situación por la cual se genera el riesgo.”</w:t>
            </w:r>
          </w:p>
          <w:p w14:paraId="23DD2FEB"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eastAsia="es-MX"/>
              </w:rPr>
            </w:pPr>
          </w:p>
          <w:p w14:paraId="77841020"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r w:rsidRPr="00D14A30">
              <w:rPr>
                <w:rFonts w:ascii="Arial" w:hAnsi="Arial" w:cs="Arial"/>
                <w:sz w:val="20"/>
                <w:szCs w:val="20"/>
                <w:lang w:val="es-ES"/>
              </w:rPr>
              <w:t xml:space="preserve">Para el riesgo extremo: </w:t>
            </w:r>
          </w:p>
          <w:p w14:paraId="206B9FF3" w14:textId="77777777" w:rsidR="00DA7014" w:rsidRPr="00D14A30" w:rsidRDefault="00DA7014" w:rsidP="00DA7014">
            <w:pPr>
              <w:pStyle w:val="wordsection1"/>
              <w:autoSpaceDE w:val="0"/>
              <w:autoSpaceDN w:val="0"/>
              <w:spacing w:line="0" w:lineRule="atLeast"/>
              <w:jc w:val="both"/>
              <w:rPr>
                <w:rFonts w:ascii="Arial" w:eastAsia="Times New Roman" w:hAnsi="Arial" w:cs="Arial"/>
                <w:i/>
                <w:iCs/>
                <w:sz w:val="20"/>
                <w:szCs w:val="20"/>
                <w:lang w:val="es-ES" w:eastAsia="es-MX"/>
              </w:rPr>
            </w:pPr>
          </w:p>
          <w:p w14:paraId="5BE3FEB9" w14:textId="77777777" w:rsidR="00DA7014" w:rsidRPr="00D14A30" w:rsidRDefault="00DA7014" w:rsidP="00DA7014">
            <w:pPr>
              <w:pStyle w:val="wordsection1"/>
              <w:autoSpaceDE w:val="0"/>
              <w:autoSpaceDN w:val="0"/>
              <w:ind w:left="426"/>
              <w:jc w:val="both"/>
              <w:rPr>
                <w:rFonts w:ascii="Arial" w:eastAsia="Times New Roman" w:hAnsi="Arial" w:cs="Arial"/>
                <w:i/>
                <w:sz w:val="20"/>
                <w:szCs w:val="20"/>
                <w:lang w:eastAsia="es-MX"/>
              </w:rPr>
            </w:pPr>
            <w:r w:rsidRPr="00D14A30">
              <w:rPr>
                <w:rFonts w:ascii="Arial" w:hAnsi="Arial" w:cs="Arial"/>
                <w:i/>
                <w:sz w:val="20"/>
                <w:szCs w:val="20"/>
              </w:rPr>
              <w:lastRenderedPageBreak/>
              <w:t>“…que amenaza la vida o la integridad personal. Este es el nivel de los riesgos que, por su intensidad, entran bajo la órbita de protección directa de los derechos a la vida e integridad personal. Cuando los riesgos puestos en conocimiento de las autoridades reúnen todas las características señaladas anteriormente –esto es, cuando son específicos, individualizables, concretos, presentes, importantes, serios, claros y discernibles, excepcionales y desproporcionados, y además se llenan los siguientes requisitos, los derechos a la vida y a la integridad personal estarían amenazados. Estos requisitos adicionales son (i) que el riesgo sea grave e inminente, y (ii) que esté dirigido contra la vida o la integridad de la persona, con el propósito evidente de violentar tales derechos. Cuando el riesgo tiene estas características adicionales, su nivel se torna extremo, y serán aplicables en forma inmediata los derechos fundamentales a la vida y a la integridad, como títulos jurídicos para exigir la intervención del Estado con miras a preservar al individuo. Pero como ya se dijo, en la medida en que alguna de estas características vaya disminuyendo de intensidad, o vaya faltando, el riesgo dejará de ser extremo, sin perder su carácter de extraordinario, por lo cual se ubicará bajo la órbita de protección del derecho a la seguridad personal.”</w:t>
            </w:r>
          </w:p>
          <w:p w14:paraId="54AFEA0E" w14:textId="77777777" w:rsidR="00DA7014" w:rsidRPr="00D14A30" w:rsidRDefault="00DA7014" w:rsidP="00DA7014">
            <w:pPr>
              <w:pStyle w:val="wordsection1"/>
              <w:autoSpaceDE w:val="0"/>
              <w:autoSpaceDN w:val="0"/>
              <w:spacing w:line="0" w:lineRule="atLeast"/>
              <w:jc w:val="both"/>
              <w:rPr>
                <w:rFonts w:ascii="Arial" w:eastAsia="Times New Roman" w:hAnsi="Arial" w:cs="Arial"/>
                <w:i/>
                <w:iCs/>
                <w:sz w:val="20"/>
                <w:szCs w:val="20"/>
                <w:lang w:val="es-ES" w:eastAsia="es-MX"/>
              </w:rPr>
            </w:pPr>
          </w:p>
          <w:p w14:paraId="7BB2F5AC"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r w:rsidRPr="00D14A30">
              <w:rPr>
                <w:rFonts w:ascii="Arial" w:hAnsi="Arial" w:cs="Arial"/>
                <w:sz w:val="20"/>
                <w:szCs w:val="20"/>
                <w:lang w:val="es-ES"/>
              </w:rPr>
              <w:t>No obstante, hay que tener de presente el cambio jurisprudencia de la Sentencia T-719 de 2003 con su Sentencia T-339 de 2010, dentro de la cual se precisó.</w:t>
            </w:r>
          </w:p>
          <w:p w14:paraId="1B87B87B"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p>
          <w:p w14:paraId="40BCF6DD" w14:textId="77777777" w:rsidR="00DA7014" w:rsidRPr="00D14A30" w:rsidRDefault="00DA7014" w:rsidP="00DA7014">
            <w:pPr>
              <w:pStyle w:val="wordsection1"/>
              <w:shd w:val="clear" w:color="auto" w:fill="FFFFFF"/>
              <w:autoSpaceDE w:val="0"/>
              <w:autoSpaceDN w:val="0"/>
              <w:ind w:left="426" w:right="11"/>
              <w:jc w:val="both"/>
              <w:rPr>
                <w:rFonts w:ascii="Arial" w:eastAsia="Times New Roman" w:hAnsi="Arial" w:cs="Arial"/>
                <w:i/>
                <w:iCs/>
                <w:sz w:val="20"/>
                <w:szCs w:val="20"/>
                <w:lang w:val="es-ES_tradnl" w:eastAsia="es-ES_tradnl"/>
              </w:rPr>
            </w:pPr>
            <w:r w:rsidRPr="00D14A30">
              <w:rPr>
                <w:rFonts w:ascii="Arial" w:hAnsi="Arial" w:cs="Arial"/>
                <w:i/>
                <w:iCs/>
                <w:sz w:val="20"/>
                <w:szCs w:val="20"/>
                <w:lang w:eastAsia="es-ES_tradnl"/>
              </w:rPr>
              <w:t>“4.3.2. Precisión de la escala de riesgos y amenazas. Diferencia entre amenaza y riesgo. </w:t>
            </w:r>
          </w:p>
          <w:p w14:paraId="2C574E42" w14:textId="77777777" w:rsidR="00DA7014" w:rsidRPr="00D14A30" w:rsidRDefault="00DA7014" w:rsidP="00DA7014">
            <w:pPr>
              <w:pStyle w:val="wordsection1"/>
              <w:shd w:val="clear" w:color="auto" w:fill="FFFFFF"/>
              <w:autoSpaceDE w:val="0"/>
              <w:autoSpaceDN w:val="0"/>
              <w:ind w:left="426" w:right="11"/>
              <w:jc w:val="both"/>
              <w:rPr>
                <w:rFonts w:ascii="Arial" w:eastAsia="Times New Roman" w:hAnsi="Arial" w:cs="Arial"/>
                <w:i/>
                <w:iCs/>
                <w:sz w:val="20"/>
                <w:szCs w:val="20"/>
                <w:lang w:val="es-ES_tradnl" w:eastAsia="es-ES_tradnl"/>
              </w:rPr>
            </w:pPr>
            <w:r w:rsidRPr="00D14A30">
              <w:rPr>
                <w:rFonts w:ascii="Arial" w:hAnsi="Arial" w:cs="Arial"/>
                <w:i/>
                <w:iCs/>
                <w:sz w:val="20"/>
                <w:szCs w:val="20"/>
                <w:lang w:eastAsia="es-ES_tradnl"/>
              </w:rPr>
              <w:t> </w:t>
            </w:r>
          </w:p>
          <w:p w14:paraId="2C6208E1" w14:textId="77777777" w:rsidR="00DA7014" w:rsidRPr="00D14A30" w:rsidRDefault="00DA7014" w:rsidP="00DA7014">
            <w:pPr>
              <w:pStyle w:val="wordsection1"/>
              <w:shd w:val="clear" w:color="auto" w:fill="FFFFFF"/>
              <w:autoSpaceDE w:val="0"/>
              <w:autoSpaceDN w:val="0"/>
              <w:ind w:left="426" w:right="11"/>
              <w:jc w:val="both"/>
              <w:rPr>
                <w:rFonts w:ascii="Arial" w:eastAsia="Times New Roman" w:hAnsi="Arial" w:cs="Arial"/>
                <w:i/>
                <w:iCs/>
                <w:sz w:val="20"/>
                <w:szCs w:val="20"/>
                <w:lang w:val="es-ES_tradnl" w:eastAsia="es-ES_tradnl"/>
              </w:rPr>
            </w:pPr>
            <w:r w:rsidRPr="00D14A30">
              <w:rPr>
                <w:rFonts w:ascii="Arial" w:hAnsi="Arial" w:cs="Arial"/>
                <w:i/>
                <w:iCs/>
                <w:sz w:val="20"/>
                <w:szCs w:val="20"/>
                <w:lang w:eastAsia="es-ES_tradnl"/>
              </w:rPr>
              <w:t>6. De lo anterior, se puede concluir que la Corte no ha precisado con el nivel deseable los conceptos de riesgo y de amenaza</w:t>
            </w:r>
            <w:hyperlink r:id="rId11" w:anchor="_ftn32" w:history="1">
              <w:r w:rsidRPr="00D14A30">
                <w:rPr>
                  <w:rStyle w:val="Hipervnculo"/>
                  <w:rFonts w:ascii="Arial" w:hAnsi="Arial" w:cs="Arial"/>
                  <w:i/>
                  <w:iCs/>
                  <w:sz w:val="20"/>
                  <w:szCs w:val="20"/>
                  <w:vertAlign w:val="superscript"/>
                  <w:lang w:eastAsia="es-ES_tradnl"/>
                </w:rPr>
                <w:t>[32]</w:t>
              </w:r>
            </w:hyperlink>
            <w:r w:rsidRPr="00D14A30">
              <w:rPr>
                <w:rFonts w:ascii="Arial" w:hAnsi="Arial" w:cs="Arial"/>
                <w:i/>
                <w:iCs/>
                <w:sz w:val="20"/>
                <w:szCs w:val="20"/>
                <w:lang w:eastAsia="es-ES_tradnl"/>
              </w:rPr>
              <w:t>. En efecto, de acuerdo al diccionario de la Real Academia de la Lengua, el riesgo es la “contingencia o proximidad de un daño”, y la contingencia es la “posibilidad de que algo suceda o no suceda” o “cosa que puede suceder o no suceder”. Por su parte, la amenaza es la “acción de amenazar” y, a su vez, amenazar significa “dar indicios de estar inminente algo malo o desagradable”. En esta medida, el riesgo es siempre abstracto y no produce consecuencias concretas, mientras que la amenaza supone la existencia de señales o manifestaciones que hagan suponer que algo malo va a suceder. En otras palabras, la amenaza supone la existencia de “signos objetivos que muestran la inminencia de la agravación del daño”</w:t>
            </w:r>
            <w:hyperlink r:id="rId12" w:anchor="_ftn33" w:history="1">
              <w:r w:rsidRPr="00D14A30">
                <w:rPr>
                  <w:rStyle w:val="Hipervnculo"/>
                  <w:rFonts w:ascii="Arial" w:hAnsi="Arial" w:cs="Arial"/>
                  <w:i/>
                  <w:iCs/>
                  <w:sz w:val="20"/>
                  <w:szCs w:val="20"/>
                  <w:vertAlign w:val="superscript"/>
                  <w:lang w:eastAsia="es-ES_tradnl"/>
                </w:rPr>
                <w:t>[33]</w:t>
              </w:r>
            </w:hyperlink>
            <w:r w:rsidRPr="00D14A30">
              <w:rPr>
                <w:rFonts w:ascii="Arial" w:hAnsi="Arial" w:cs="Arial"/>
                <w:i/>
                <w:iCs/>
                <w:sz w:val="20"/>
                <w:szCs w:val="20"/>
                <w:lang w:eastAsia="es-ES_tradnl"/>
              </w:rPr>
              <w:t>. Por este motivo, “cualquier amenaza constituye un riesgo, pero no cualquier riesgo es una amenaza”</w:t>
            </w:r>
            <w:hyperlink r:id="rId13" w:anchor="_ftn34" w:history="1">
              <w:r w:rsidRPr="00D14A30">
                <w:rPr>
                  <w:rStyle w:val="Hipervnculo"/>
                  <w:rFonts w:ascii="Arial" w:hAnsi="Arial" w:cs="Arial"/>
                  <w:i/>
                  <w:iCs/>
                  <w:sz w:val="20"/>
                  <w:szCs w:val="20"/>
                  <w:vertAlign w:val="superscript"/>
                  <w:lang w:eastAsia="es-ES_tradnl"/>
                </w:rPr>
                <w:t>[34]</w:t>
              </w:r>
            </w:hyperlink>
            <w:r w:rsidRPr="00D14A30">
              <w:rPr>
                <w:rFonts w:ascii="Arial" w:hAnsi="Arial" w:cs="Arial"/>
                <w:i/>
                <w:iCs/>
                <w:sz w:val="20"/>
                <w:szCs w:val="20"/>
                <w:lang w:eastAsia="es-ES_tradnl"/>
              </w:rPr>
              <w:t>. </w:t>
            </w:r>
          </w:p>
          <w:p w14:paraId="47FB5D7B" w14:textId="77777777" w:rsidR="00DA7014" w:rsidRPr="00D14A30" w:rsidRDefault="00DA7014" w:rsidP="00DA7014">
            <w:pPr>
              <w:pStyle w:val="wordsection1"/>
              <w:shd w:val="clear" w:color="auto" w:fill="FFFFFF"/>
              <w:autoSpaceDE w:val="0"/>
              <w:autoSpaceDN w:val="0"/>
              <w:ind w:left="426" w:right="11"/>
              <w:jc w:val="both"/>
              <w:rPr>
                <w:rFonts w:ascii="Arial" w:eastAsia="Times New Roman" w:hAnsi="Arial" w:cs="Arial"/>
                <w:i/>
                <w:iCs/>
                <w:sz w:val="20"/>
                <w:szCs w:val="20"/>
                <w:lang w:val="es-ES_tradnl" w:eastAsia="es-ES_tradnl"/>
              </w:rPr>
            </w:pPr>
            <w:r w:rsidRPr="00D14A30">
              <w:rPr>
                <w:rFonts w:ascii="Arial" w:hAnsi="Arial" w:cs="Arial"/>
                <w:i/>
                <w:iCs/>
                <w:sz w:val="20"/>
                <w:szCs w:val="20"/>
                <w:lang w:eastAsia="es-ES_tradnl"/>
              </w:rPr>
              <w:t> </w:t>
            </w:r>
          </w:p>
          <w:p w14:paraId="113E04F0" w14:textId="77777777" w:rsidR="00DA7014" w:rsidRPr="00D14A30" w:rsidRDefault="00DA7014" w:rsidP="00DA7014">
            <w:pPr>
              <w:pStyle w:val="wordsection1"/>
              <w:shd w:val="clear" w:color="auto" w:fill="FFFFFF"/>
              <w:autoSpaceDE w:val="0"/>
              <w:autoSpaceDN w:val="0"/>
              <w:ind w:left="426" w:right="11"/>
              <w:jc w:val="both"/>
              <w:rPr>
                <w:rFonts w:ascii="Arial" w:eastAsia="Times New Roman" w:hAnsi="Arial" w:cs="Arial"/>
                <w:i/>
                <w:iCs/>
                <w:sz w:val="20"/>
                <w:szCs w:val="20"/>
                <w:lang w:val="es-ES_tradnl" w:eastAsia="es-ES_tradnl"/>
              </w:rPr>
            </w:pPr>
            <w:r w:rsidRPr="00D14A30">
              <w:rPr>
                <w:rFonts w:ascii="Arial" w:hAnsi="Arial" w:cs="Arial"/>
                <w:i/>
                <w:iCs/>
                <w:sz w:val="20"/>
                <w:szCs w:val="20"/>
                <w:lang w:eastAsia="es-ES_tradnl"/>
              </w:rPr>
              <w:t>Por lo tanto, cuando la jurisprudencia de esta Corporación antes reseñada, se refiere a los tipos de riesgo que conducen a otorgar protección por parte del Estado (riesgo extraordinario y riesgo extremo), se refiere con más exactitud al concepto de amenaza pues no es suficiente con que exista una contingencia de un posible daño sino que debe haber alguna manifestación, alguna señal, que haga suponer que la integridad de la persona corre peligro.”</w:t>
            </w:r>
          </w:p>
          <w:p w14:paraId="13502915" w14:textId="77777777" w:rsidR="00DA7014" w:rsidRPr="00D14A30" w:rsidRDefault="00DA7014" w:rsidP="00DA7014">
            <w:pPr>
              <w:pStyle w:val="wordsection1"/>
              <w:autoSpaceDE w:val="0"/>
              <w:autoSpaceDN w:val="0"/>
              <w:spacing w:line="0" w:lineRule="atLeast"/>
              <w:ind w:left="426"/>
              <w:jc w:val="both"/>
              <w:rPr>
                <w:rFonts w:ascii="Arial" w:eastAsia="Times New Roman" w:hAnsi="Arial" w:cs="Arial"/>
                <w:sz w:val="20"/>
                <w:szCs w:val="20"/>
                <w:lang w:val="es-ES" w:eastAsia="es-MX"/>
              </w:rPr>
            </w:pPr>
          </w:p>
          <w:p w14:paraId="0544BF75"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r w:rsidRPr="00D14A30">
              <w:rPr>
                <w:rFonts w:ascii="Arial" w:hAnsi="Arial" w:cs="Arial"/>
                <w:sz w:val="20"/>
                <w:szCs w:val="20"/>
                <w:lang w:val="es-ES"/>
              </w:rPr>
              <w:t>Así mismo, es importante tener presente lo definido por la Corte Constitucional en su Sentencia T-460 de 2014, la cual establece:</w:t>
            </w:r>
          </w:p>
          <w:p w14:paraId="3971A127"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p>
          <w:p w14:paraId="5740311B" w14:textId="77777777" w:rsidR="00DA7014" w:rsidRPr="00D14A30" w:rsidRDefault="00DA7014" w:rsidP="00DA7014">
            <w:pPr>
              <w:pStyle w:val="wordsection1"/>
              <w:autoSpaceDE w:val="0"/>
              <w:autoSpaceDN w:val="0"/>
              <w:spacing w:line="0" w:lineRule="atLeast"/>
              <w:ind w:left="426"/>
              <w:jc w:val="both"/>
              <w:rPr>
                <w:rFonts w:ascii="Arial" w:eastAsia="Times New Roman" w:hAnsi="Arial" w:cs="Arial"/>
                <w:i/>
                <w:iCs/>
                <w:sz w:val="20"/>
                <w:szCs w:val="20"/>
                <w:lang w:val="es-ES" w:eastAsia="es-MX"/>
              </w:rPr>
            </w:pPr>
            <w:r w:rsidRPr="00D14A30">
              <w:rPr>
                <w:rFonts w:ascii="Arial" w:hAnsi="Arial" w:cs="Arial"/>
                <w:i/>
                <w:iCs/>
                <w:sz w:val="20"/>
                <w:szCs w:val="20"/>
                <w:lang w:val="es-ES"/>
              </w:rPr>
              <w:t xml:space="preserve">“A su vez, la Corte Constitucional ha sostenido que la solicitud de protección que se haga al Estado exige el deber correlativo del peticionario de probar, al menos sumariamente, los hechos que demuestren o permitan deducir que se encuentra expuesto a una situación que amenace sus derechos. Es por ello por lo que se debe acreditar la naturaleza e intensidad de la amenaza respecto de la cual se pide la protección”. </w:t>
            </w:r>
          </w:p>
          <w:p w14:paraId="54A8ADC7"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 w:eastAsia="es-MX"/>
              </w:rPr>
            </w:pPr>
          </w:p>
          <w:p w14:paraId="661F8461"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_tradnl" w:eastAsia="es-MX"/>
              </w:rPr>
            </w:pPr>
            <w:r w:rsidRPr="00D14A30">
              <w:rPr>
                <w:rFonts w:ascii="Arial" w:eastAsia="Times New Roman" w:hAnsi="Arial" w:cs="Arial"/>
                <w:sz w:val="20"/>
                <w:szCs w:val="20"/>
                <w:lang w:val="es-ES_tradnl" w:eastAsia="es-MX"/>
              </w:rPr>
              <w:t xml:space="preserve">De igual manera, es imperioso exponer las consideraciones de la Corte en su sentencia T-1026 de 2002, con la cual nos aporta las características de la Amenaza, estas fundamentales para su analices dentro del proceso de evaluación.    </w:t>
            </w:r>
          </w:p>
          <w:p w14:paraId="62267C51"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_tradnl" w:eastAsia="es-MX"/>
              </w:rPr>
            </w:pPr>
          </w:p>
          <w:p w14:paraId="797C0BA9" w14:textId="77777777" w:rsidR="00DA7014" w:rsidRPr="00D14A30" w:rsidRDefault="00DA7014" w:rsidP="00DA7014">
            <w:pPr>
              <w:adjustRightInd w:val="0"/>
              <w:ind w:left="426"/>
              <w:jc w:val="both"/>
              <w:rPr>
                <w:rFonts w:cs="Arial"/>
                <w:b/>
                <w:bCs/>
                <w:i/>
                <w:iCs/>
              </w:rPr>
            </w:pPr>
            <w:r w:rsidRPr="00D14A30">
              <w:rPr>
                <w:rFonts w:cs="Arial"/>
                <w:b/>
                <w:bCs/>
                <w:i/>
                <w:iCs/>
              </w:rPr>
              <w:t>“10. Criterios de apreciación de los hechos constitutivos de una amenaza para establecer la procedencia de la protección especial del Estado</w:t>
            </w:r>
          </w:p>
          <w:p w14:paraId="26D8433D" w14:textId="77777777" w:rsidR="00DA7014" w:rsidRPr="00D14A30" w:rsidRDefault="00DA7014" w:rsidP="00DA7014">
            <w:pPr>
              <w:adjustRightInd w:val="0"/>
              <w:ind w:left="426"/>
              <w:jc w:val="both"/>
              <w:rPr>
                <w:rFonts w:cs="Arial"/>
                <w:i/>
                <w:iCs/>
              </w:rPr>
            </w:pPr>
          </w:p>
          <w:p w14:paraId="519843EA" w14:textId="77777777" w:rsidR="00DA7014" w:rsidRPr="00D14A30" w:rsidRDefault="00DA7014" w:rsidP="00DA7014">
            <w:pPr>
              <w:pStyle w:val="wordsection1"/>
              <w:autoSpaceDE w:val="0"/>
              <w:autoSpaceDN w:val="0"/>
              <w:spacing w:line="0" w:lineRule="atLeast"/>
              <w:ind w:left="426"/>
              <w:jc w:val="both"/>
              <w:rPr>
                <w:rFonts w:ascii="Arial" w:eastAsia="Times New Roman" w:hAnsi="Arial" w:cs="Arial"/>
                <w:i/>
                <w:iCs/>
                <w:sz w:val="20"/>
                <w:szCs w:val="20"/>
                <w:lang w:val="es-ES_tradnl" w:eastAsia="es-MX"/>
              </w:rPr>
            </w:pPr>
            <w:r w:rsidRPr="00D14A30">
              <w:rPr>
                <w:rFonts w:ascii="Arial" w:eastAsia="Times New Roman" w:hAnsi="Arial" w:cs="Arial"/>
                <w:i/>
                <w:iCs/>
                <w:sz w:val="20"/>
                <w:szCs w:val="20"/>
                <w:lang w:val="es-ES_tradnl" w:eastAsia="es-MX"/>
              </w:rPr>
              <w:t>(…)</w:t>
            </w:r>
          </w:p>
          <w:p w14:paraId="59725028" w14:textId="77777777" w:rsidR="00DA7014" w:rsidRPr="00D14A30" w:rsidRDefault="00DA7014" w:rsidP="00DA7014">
            <w:pPr>
              <w:pStyle w:val="wordsection1"/>
              <w:autoSpaceDE w:val="0"/>
              <w:autoSpaceDN w:val="0"/>
              <w:spacing w:line="0" w:lineRule="atLeast"/>
              <w:ind w:left="426"/>
              <w:jc w:val="both"/>
              <w:rPr>
                <w:rFonts w:ascii="Arial" w:eastAsia="Times New Roman" w:hAnsi="Arial" w:cs="Arial"/>
                <w:i/>
                <w:iCs/>
                <w:sz w:val="20"/>
                <w:szCs w:val="20"/>
                <w:lang w:val="es-ES_tradnl" w:eastAsia="es-MX"/>
              </w:rPr>
            </w:pPr>
          </w:p>
          <w:p w14:paraId="1179FACE" w14:textId="77777777" w:rsidR="00DA7014" w:rsidRPr="00D14A30" w:rsidRDefault="00DA7014" w:rsidP="00DA7014">
            <w:pPr>
              <w:numPr>
                <w:ilvl w:val="12"/>
                <w:numId w:val="0"/>
              </w:numPr>
              <w:ind w:left="426" w:right="51"/>
              <w:jc w:val="both"/>
              <w:rPr>
                <w:rFonts w:cs="Arial"/>
                <w:i/>
                <w:iCs/>
              </w:rPr>
            </w:pPr>
            <w:r w:rsidRPr="00D14A30">
              <w:rPr>
                <w:rFonts w:cs="Arial"/>
                <w:i/>
                <w:iCs/>
              </w:rPr>
              <w:t xml:space="preserve">a) Realidad de la amenaza: Se exige que la amenaza sea real, en el sentido que haya sido comunicada o manifestada a la víctima y pueda ser convalidada objetivamente. Esto implica que no debe tratarse de un temor individual frente a una situación hipotética, pues los riesgos imaginarios no son amparables constitucionalmente. Según lo ha dicho la Corte: </w:t>
            </w:r>
          </w:p>
          <w:p w14:paraId="0F97765F" w14:textId="77777777" w:rsidR="00DA7014" w:rsidRPr="00D14A30" w:rsidRDefault="00DA7014" w:rsidP="00DA7014">
            <w:pPr>
              <w:numPr>
                <w:ilvl w:val="12"/>
                <w:numId w:val="0"/>
              </w:numPr>
              <w:ind w:left="426" w:right="51"/>
              <w:jc w:val="both"/>
              <w:rPr>
                <w:rFonts w:cs="Arial"/>
                <w:i/>
                <w:iCs/>
              </w:rPr>
            </w:pPr>
          </w:p>
          <w:p w14:paraId="40A4E391" w14:textId="77777777" w:rsidR="00DA7014" w:rsidRPr="00D14A30" w:rsidRDefault="00DA7014" w:rsidP="00DA7014">
            <w:pPr>
              <w:numPr>
                <w:ilvl w:val="12"/>
                <w:numId w:val="0"/>
              </w:numPr>
              <w:ind w:left="426" w:right="51"/>
              <w:jc w:val="both"/>
              <w:rPr>
                <w:rFonts w:cs="Arial"/>
                <w:i/>
                <w:iCs/>
              </w:rPr>
            </w:pPr>
            <w:r w:rsidRPr="00D14A30">
              <w:rPr>
                <w:rFonts w:cs="Arial"/>
                <w:i/>
                <w:iCs/>
              </w:rPr>
              <w:lastRenderedPageBreak/>
              <w:t>“De esta forma se evita que cualquier persona, ante las comunes tensiones sociales que la vida moderna conlleva, aduzca la existencia de amenazas contra sus derechos fundamentales. Más aún, se requiere que las circunstancias históricas así lo confirmen de manera generalizada y pueda aceptarse que el temor advertido lejos de obedecer a la paranoia o a la excentricidad de la persona se origina en la apreciación subjetiva y razonable de la situación fáctica vivida” (Sentencia T-439 de 1992. M.P. Eduardo Cifuentes Muñoz)</w:t>
            </w:r>
          </w:p>
          <w:p w14:paraId="10BB0F57" w14:textId="77777777" w:rsidR="00DA7014" w:rsidRPr="00D14A30" w:rsidRDefault="00DA7014" w:rsidP="00DA7014">
            <w:pPr>
              <w:numPr>
                <w:ilvl w:val="12"/>
                <w:numId w:val="0"/>
              </w:numPr>
              <w:ind w:left="426" w:right="51"/>
              <w:jc w:val="both"/>
              <w:rPr>
                <w:rFonts w:cs="Arial"/>
                <w:i/>
                <w:iCs/>
              </w:rPr>
            </w:pPr>
          </w:p>
          <w:p w14:paraId="73483207" w14:textId="77777777" w:rsidR="00DA7014" w:rsidRPr="00D14A30" w:rsidRDefault="00DA7014" w:rsidP="00DA7014">
            <w:pPr>
              <w:numPr>
                <w:ilvl w:val="12"/>
                <w:numId w:val="0"/>
              </w:numPr>
              <w:ind w:left="426" w:right="51"/>
              <w:jc w:val="both"/>
              <w:rPr>
                <w:rFonts w:cs="Arial"/>
                <w:i/>
                <w:iCs/>
              </w:rPr>
            </w:pPr>
            <w:r w:rsidRPr="00D14A30">
              <w:rPr>
                <w:rFonts w:cs="Arial"/>
                <w:i/>
                <w:iCs/>
              </w:rPr>
              <w:t xml:space="preserve">b) La individualidad de la amenaza: Como primer criterio objetivo se busca que la amenaza sea individualizada; para ello se requiere que haya sido dirigida contra un sujeto o un grupo determinado o determinable de personas,  pudiéndose establecer que el peligro que corren es excepcional en relación con el riesgo general que debe soportar la población o el grupo o sector al cual pertenecen. Se exige esta individualización para que proceda la intervención particular del Estado, puesto que las amenazas indeterminadas deben ser asumidas por la población como parte de la convivencia en sociedad, en razón al principio de solidaridad.  </w:t>
            </w:r>
          </w:p>
          <w:p w14:paraId="33B423F0" w14:textId="77777777" w:rsidR="00DA7014" w:rsidRPr="00D14A30" w:rsidRDefault="00DA7014" w:rsidP="00DA7014">
            <w:pPr>
              <w:numPr>
                <w:ilvl w:val="12"/>
                <w:numId w:val="0"/>
              </w:numPr>
              <w:ind w:left="426" w:right="51"/>
              <w:jc w:val="both"/>
              <w:rPr>
                <w:rFonts w:cs="Arial"/>
                <w:i/>
                <w:iCs/>
              </w:rPr>
            </w:pPr>
          </w:p>
          <w:p w14:paraId="20D38F86" w14:textId="77777777" w:rsidR="00DA7014" w:rsidRPr="00D14A30" w:rsidRDefault="00DA7014" w:rsidP="00DA7014">
            <w:pPr>
              <w:numPr>
                <w:ilvl w:val="12"/>
                <w:numId w:val="0"/>
              </w:numPr>
              <w:ind w:left="426" w:right="51"/>
              <w:jc w:val="both"/>
              <w:rPr>
                <w:rFonts w:cs="Arial"/>
                <w:i/>
                <w:iCs/>
              </w:rPr>
            </w:pPr>
            <w:r w:rsidRPr="00D14A30">
              <w:rPr>
                <w:rFonts w:cs="Arial"/>
                <w:i/>
                <w:iCs/>
              </w:rPr>
              <w:t>c) La situación específica del amenazado: En esta apreciación se tienen en consideración aspectos subjetivos que rodean al peticionario, tales como el lugar de residencia, la pertenencia a un partido político, la actividad sindical, la situación económica, la actividad profesional, la labor desempeñada como empleado de cierta entidad estatal o empresa privada, los vínculos familiares, ciertas actuaciones realizadas o haberse visto involucrado en acciones adelantadas por grupos armados que actúan por fuera de la ley. La autoridad competente determinará, de acuerdo con los elementos de juicio existentes, si debido a las circunstancias específicas del solicitante, éste se encuentra expuesto a una situación de mayor vulnerabilidad y por lo tanto, sus derechos fundamentales corren un riesgo superior de ser violados en relación con el resto de la población.</w:t>
            </w:r>
          </w:p>
          <w:p w14:paraId="6F35B948" w14:textId="77777777" w:rsidR="00DA7014" w:rsidRPr="00D14A30" w:rsidRDefault="00DA7014" w:rsidP="00DA7014">
            <w:pPr>
              <w:numPr>
                <w:ilvl w:val="12"/>
                <w:numId w:val="0"/>
              </w:numPr>
              <w:ind w:left="426" w:right="51"/>
              <w:jc w:val="both"/>
              <w:rPr>
                <w:rFonts w:cs="Arial"/>
                <w:i/>
                <w:iCs/>
              </w:rPr>
            </w:pPr>
          </w:p>
          <w:p w14:paraId="7B11E26F" w14:textId="77777777" w:rsidR="00DA7014" w:rsidRPr="00D14A30" w:rsidRDefault="00DA7014" w:rsidP="00DA7014">
            <w:pPr>
              <w:numPr>
                <w:ilvl w:val="12"/>
                <w:numId w:val="0"/>
              </w:numPr>
              <w:ind w:left="426" w:right="51"/>
              <w:jc w:val="both"/>
              <w:rPr>
                <w:rFonts w:cs="Arial"/>
                <w:i/>
                <w:iCs/>
              </w:rPr>
            </w:pPr>
            <w:r w:rsidRPr="00D14A30">
              <w:rPr>
                <w:rFonts w:cs="Arial"/>
                <w:i/>
                <w:iCs/>
              </w:rPr>
              <w:t xml:space="preserve">d) El escenario en que se presentan las amenazas: De manera paralela a los criterios anteriores, es conveniente analizar las circunstancias históricas, sociales, económicas y políticas del lugar donde se asegura que han ocurrido las amenazas. (i) Si es una zona generalmente pacífica o si es de aquellas donde hay un alto nivel de conflicto; (ii) si los antecedentes históricos de ataques contra la población por parte de grupos insurgentes que militan en la zona son considerados sistemáticos o esporádicos; (iii) si constituye una zona de importancia estratégica para los grupos al margen de la ley y (iv) si existe presencia suficiente de la fuerza pública y demás autoridades estatales para mantener el orden público; circunstancias que constituyen características del escenario a partir de las cuales se aumenta la probabilidad de la existencia de un riesgo especial y, por tanto, del cumplimiento de la amenaza. </w:t>
            </w:r>
          </w:p>
          <w:p w14:paraId="7828B016" w14:textId="77777777" w:rsidR="00DA7014" w:rsidRPr="00D14A30" w:rsidRDefault="00DA7014" w:rsidP="00DA7014">
            <w:pPr>
              <w:numPr>
                <w:ilvl w:val="12"/>
                <w:numId w:val="0"/>
              </w:numPr>
              <w:ind w:left="426" w:right="51"/>
              <w:jc w:val="both"/>
              <w:rPr>
                <w:rFonts w:cs="Arial"/>
                <w:i/>
                <w:iCs/>
              </w:rPr>
            </w:pPr>
          </w:p>
          <w:p w14:paraId="4BF82E42" w14:textId="77777777" w:rsidR="00DA7014" w:rsidRPr="00D14A30" w:rsidRDefault="00DA7014" w:rsidP="00DA7014">
            <w:pPr>
              <w:numPr>
                <w:ilvl w:val="12"/>
                <w:numId w:val="0"/>
              </w:numPr>
              <w:ind w:left="426" w:right="51"/>
              <w:jc w:val="both"/>
              <w:rPr>
                <w:rFonts w:cs="Arial"/>
                <w:i/>
                <w:iCs/>
              </w:rPr>
            </w:pPr>
            <w:r w:rsidRPr="00D14A30">
              <w:rPr>
                <w:rFonts w:cs="Arial"/>
                <w:i/>
                <w:iCs/>
              </w:rPr>
              <w:t xml:space="preserve">e) Inminencia del peligro: La autoridad competente debe verificar la inminencia del peligro, apreciando las circunstancias generales de riesgo para determinar la probabilidad de la ocurrencia de una afectación grave de la vida y de los derechos fundamentales de la persona amenazada.. Que la amenaza sea individualizada y que se presente en una zona de presencia activa de los grupos insurgentes, aumenta la probabilidad de su ocurrencia. Sin embargo, debe tenerse en cuenta que la dificultad de determinar la realidad de su acaecimiento aumenta en la medida en que la vulneración depende de la actuación de terceras personas. Por lo tanto, la autoridad competente para calificar la naturaleza de la amenaza tiene que evaluar cuidadosamente los criterios anteriores, con el fin de verificar tanto su existencia real como la probabilidad de la ocurrencia de un daño grave e inminente a la persona.” </w:t>
            </w:r>
          </w:p>
          <w:p w14:paraId="0B1373F8" w14:textId="77777777" w:rsidR="00DA7014" w:rsidRPr="00D14A30" w:rsidRDefault="00DA7014" w:rsidP="00DA7014">
            <w:pPr>
              <w:pStyle w:val="wordsection1"/>
              <w:autoSpaceDE w:val="0"/>
              <w:autoSpaceDN w:val="0"/>
              <w:spacing w:line="0" w:lineRule="atLeast"/>
              <w:jc w:val="both"/>
              <w:rPr>
                <w:rFonts w:ascii="Arial" w:eastAsia="Times New Roman" w:hAnsi="Arial" w:cs="Arial"/>
                <w:sz w:val="20"/>
                <w:szCs w:val="20"/>
                <w:lang w:val="es-ES_tradnl" w:eastAsia="es-MX"/>
              </w:rPr>
            </w:pPr>
          </w:p>
          <w:p w14:paraId="0454AA58" w14:textId="77777777" w:rsidR="00DA7014" w:rsidRPr="00D14A30" w:rsidRDefault="00DA7014" w:rsidP="00DA7014">
            <w:pPr>
              <w:pStyle w:val="wordsection1"/>
              <w:shd w:val="clear" w:color="auto" w:fill="FFFFFF"/>
              <w:autoSpaceDE w:val="0"/>
              <w:autoSpaceDN w:val="0"/>
              <w:ind w:right="11"/>
              <w:jc w:val="both"/>
              <w:rPr>
                <w:rFonts w:ascii="Arial" w:hAnsi="Arial" w:cs="Arial"/>
                <w:sz w:val="20"/>
                <w:szCs w:val="20"/>
                <w:lang w:eastAsia="es-ES_tradnl"/>
              </w:rPr>
            </w:pPr>
            <w:r w:rsidRPr="00D14A30">
              <w:rPr>
                <w:rFonts w:ascii="Arial" w:hAnsi="Arial" w:cs="Arial"/>
                <w:sz w:val="20"/>
                <w:szCs w:val="20"/>
                <w:lang w:eastAsia="es-ES_tradnl"/>
              </w:rPr>
              <w:t>Ahora, una vez se aplica estas consideraciones y se determina que una persona cuenta con un riesgo extraordinario o extremo, adoptando las medidas de protección que correspondan según el nivel de riesgo obtenido; se procede vencida la temporalidad, a dar inicio a la revaluación del nivel de riesgo por temporalidad, según lo regulado en el parágrafo 2 del artículo 2.4.1.2.40 del Decreto 1066 de 2015, cuyo propósito es la verificación si el riesgo ya clasificado desapareció, disminuyó, se mantuvo o se incrementó, lo cual incidirá en las medidas con que cuenta la persona o comunidad.</w:t>
            </w:r>
          </w:p>
          <w:p w14:paraId="3F179CC1" w14:textId="77777777" w:rsidR="00DA7014" w:rsidRPr="00D14A30" w:rsidRDefault="00DA7014" w:rsidP="00DA7014">
            <w:pPr>
              <w:pStyle w:val="wordsection1"/>
              <w:shd w:val="clear" w:color="auto" w:fill="FFFFFF"/>
              <w:autoSpaceDE w:val="0"/>
              <w:autoSpaceDN w:val="0"/>
              <w:ind w:right="11"/>
              <w:jc w:val="both"/>
              <w:rPr>
                <w:rFonts w:ascii="Arial" w:hAnsi="Arial" w:cs="Arial"/>
                <w:sz w:val="20"/>
                <w:szCs w:val="20"/>
                <w:lang w:eastAsia="es-ES_tradnl"/>
              </w:rPr>
            </w:pPr>
          </w:p>
          <w:p w14:paraId="07E56717" w14:textId="77777777" w:rsidR="00DA7014" w:rsidRPr="00D14A30" w:rsidRDefault="00DA7014" w:rsidP="00DA7014">
            <w:pPr>
              <w:pStyle w:val="wordsection1"/>
              <w:shd w:val="clear" w:color="auto" w:fill="FFFFFF"/>
              <w:autoSpaceDE w:val="0"/>
              <w:autoSpaceDN w:val="0"/>
              <w:ind w:right="11"/>
              <w:jc w:val="both"/>
              <w:rPr>
                <w:rFonts w:ascii="Arial" w:hAnsi="Arial" w:cs="Arial"/>
                <w:sz w:val="20"/>
                <w:szCs w:val="20"/>
                <w:lang w:eastAsia="es-ES_tradnl"/>
              </w:rPr>
            </w:pPr>
            <w:r w:rsidRPr="00D14A30">
              <w:rPr>
                <w:rFonts w:ascii="Arial" w:hAnsi="Arial" w:cs="Arial"/>
                <w:sz w:val="20"/>
                <w:szCs w:val="20"/>
                <w:lang w:eastAsia="es-ES_tradnl"/>
              </w:rPr>
              <w:t>Ante esta clase de estudios, se aplica nuevamente los pronunciamientos jurisprudenciales ya mencionados y en especial, el siguiente aparte de la sentencia T-719 de 2003:</w:t>
            </w:r>
          </w:p>
          <w:p w14:paraId="06B0A212" w14:textId="77777777" w:rsidR="00DA7014" w:rsidRPr="00D14A30" w:rsidRDefault="00DA7014" w:rsidP="00DA7014">
            <w:pPr>
              <w:pStyle w:val="wordsection1"/>
              <w:shd w:val="clear" w:color="auto" w:fill="FFFFFF"/>
              <w:autoSpaceDE w:val="0"/>
              <w:autoSpaceDN w:val="0"/>
              <w:ind w:right="11"/>
              <w:jc w:val="both"/>
              <w:rPr>
                <w:rFonts w:ascii="Arial" w:hAnsi="Arial" w:cs="Arial"/>
                <w:sz w:val="20"/>
                <w:szCs w:val="20"/>
                <w:lang w:eastAsia="es-ES_tradnl"/>
              </w:rPr>
            </w:pPr>
          </w:p>
          <w:p w14:paraId="41462F4E" w14:textId="77777777" w:rsidR="00DA7014" w:rsidRPr="00D14A30" w:rsidRDefault="00DA7014" w:rsidP="00DA7014">
            <w:pPr>
              <w:pStyle w:val="wordsection1"/>
              <w:shd w:val="clear" w:color="auto" w:fill="FFFFFF"/>
              <w:autoSpaceDE w:val="0"/>
              <w:autoSpaceDN w:val="0"/>
              <w:ind w:left="426" w:right="11"/>
              <w:jc w:val="both"/>
              <w:rPr>
                <w:rFonts w:ascii="Arial" w:hAnsi="Arial" w:cs="Arial"/>
                <w:i/>
                <w:iCs/>
                <w:sz w:val="20"/>
                <w:szCs w:val="20"/>
                <w:lang w:eastAsia="es-ES_tradnl"/>
              </w:rPr>
            </w:pPr>
            <w:r w:rsidRPr="00D14A30">
              <w:rPr>
                <w:rFonts w:ascii="Arial" w:hAnsi="Arial" w:cs="Arial"/>
                <w:i/>
                <w:iCs/>
                <w:sz w:val="20"/>
                <w:szCs w:val="20"/>
                <w:lang w:eastAsia="es-ES_tradnl"/>
              </w:rPr>
              <w:t>“</w:t>
            </w:r>
            <w:r w:rsidRPr="00D14A30">
              <w:rPr>
                <w:rFonts w:ascii="Arial" w:eastAsia="Times New Roman" w:hAnsi="Arial" w:cs="Arial"/>
                <w:i/>
                <w:iCs/>
                <w:sz w:val="20"/>
                <w:szCs w:val="20"/>
                <w:bdr w:val="none" w:sz="0" w:space="0" w:color="auto" w:frame="1"/>
                <w:lang w:eastAsia="es-CO"/>
              </w:rPr>
              <w:t>Como consecuencia de lo anterior, se tiene que el derecho fundamental a la seguridad personal opera para proteger a las personas de los riesgos que se ubican en el nivel de los riesgos extraordinarios, que el individuo no tiene el deber jurídico de soportar-, mientras que los derechos a la vida e integridad personal se aplican para precaver riesgos que sean lo suficientemente intensos como para catalogarse de extremos, por reunir la totalidad de las características indicadas: </w:t>
            </w:r>
            <w:r w:rsidRPr="00D14A30">
              <w:rPr>
                <w:rFonts w:ascii="Arial" w:eastAsia="Times New Roman" w:hAnsi="Arial" w:cs="Arial"/>
                <w:b/>
                <w:bCs/>
                <w:i/>
                <w:iCs/>
                <w:sz w:val="20"/>
                <w:szCs w:val="20"/>
                <w:bdr w:val="none" w:sz="0" w:space="0" w:color="auto" w:frame="1"/>
                <w:lang w:eastAsia="es-CO"/>
              </w:rPr>
              <w:t xml:space="preserve">especificidad, carácter individualizable, concreción, presencia, importancia, </w:t>
            </w:r>
            <w:r w:rsidRPr="00D14A30">
              <w:rPr>
                <w:rFonts w:ascii="Arial" w:eastAsia="Times New Roman" w:hAnsi="Arial" w:cs="Arial"/>
                <w:b/>
                <w:bCs/>
                <w:i/>
                <w:iCs/>
                <w:sz w:val="20"/>
                <w:szCs w:val="20"/>
                <w:bdr w:val="none" w:sz="0" w:space="0" w:color="auto" w:frame="1"/>
                <w:lang w:eastAsia="es-CO"/>
              </w:rPr>
              <w:lastRenderedPageBreak/>
              <w:t>seriedad, claridad, discernibilidad, excepcionalidad y desproporción</w:t>
            </w:r>
            <w:r w:rsidRPr="00D14A30">
              <w:rPr>
                <w:rFonts w:ascii="Arial" w:eastAsia="Times New Roman" w:hAnsi="Arial" w:cs="Arial"/>
                <w:i/>
                <w:iCs/>
                <w:sz w:val="20"/>
                <w:szCs w:val="20"/>
                <w:bdr w:val="none" w:sz="0" w:space="0" w:color="auto" w:frame="1"/>
                <w:lang w:eastAsia="es-CO"/>
              </w:rPr>
              <w:t>, además de ser </w:t>
            </w:r>
            <w:r w:rsidRPr="00D14A30">
              <w:rPr>
                <w:rFonts w:ascii="Arial" w:eastAsia="Times New Roman" w:hAnsi="Arial" w:cs="Arial"/>
                <w:b/>
                <w:bCs/>
                <w:i/>
                <w:iCs/>
                <w:sz w:val="20"/>
                <w:szCs w:val="20"/>
                <w:bdr w:val="none" w:sz="0" w:space="0" w:color="auto" w:frame="1"/>
                <w:lang w:eastAsia="es-CO"/>
              </w:rPr>
              <w:t>graves </w:t>
            </w:r>
            <w:r w:rsidRPr="00D14A30">
              <w:rPr>
                <w:rFonts w:ascii="Arial" w:eastAsia="Times New Roman" w:hAnsi="Arial" w:cs="Arial"/>
                <w:i/>
                <w:iCs/>
                <w:sz w:val="20"/>
                <w:szCs w:val="20"/>
                <w:bdr w:val="none" w:sz="0" w:space="0" w:color="auto" w:frame="1"/>
                <w:lang w:eastAsia="es-CO"/>
              </w:rPr>
              <w:t>e </w:t>
            </w:r>
            <w:r w:rsidRPr="00D14A30">
              <w:rPr>
                <w:rFonts w:ascii="Arial" w:eastAsia="Times New Roman" w:hAnsi="Arial" w:cs="Arial"/>
                <w:b/>
                <w:bCs/>
                <w:i/>
                <w:iCs/>
                <w:sz w:val="20"/>
                <w:szCs w:val="20"/>
                <w:bdr w:val="none" w:sz="0" w:space="0" w:color="auto" w:frame="1"/>
                <w:lang w:eastAsia="es-CO"/>
              </w:rPr>
              <w:t>inminentes.</w:t>
            </w:r>
            <w:r w:rsidRPr="00D14A30">
              <w:rPr>
                <w:rFonts w:ascii="Arial" w:eastAsia="Times New Roman" w:hAnsi="Arial" w:cs="Arial"/>
                <w:i/>
                <w:iCs/>
                <w:sz w:val="20"/>
                <w:szCs w:val="20"/>
                <w:bdr w:val="none" w:sz="0" w:space="0" w:color="auto" w:frame="1"/>
                <w:lang w:eastAsia="es-CO"/>
              </w:rPr>
              <w:t xml:space="preserve"> En la medida en que una de estas variables vaya perdiendo fuerza en el caso concreto, o esté ausente, el riesgo pasará a la órbita de protección del derecho a la seguridad personal. En ese mismo sentido, si el riesgo no cobra la suficiente intensidad como para reunir alguna de estas características, y ser por lo mismo extraordinario, cesará de operar el citado derecho a la seguridad personal, y el riesgo deberá ser asumido por la persona, en virtud del principio de igualdad ante las cargas públicas…” </w:t>
            </w:r>
            <w:r w:rsidRPr="00D14A30">
              <w:rPr>
                <w:rFonts w:ascii="Arial" w:hAnsi="Arial" w:cs="Arial"/>
                <w:i/>
                <w:iCs/>
                <w:sz w:val="20"/>
                <w:szCs w:val="20"/>
                <w:lang w:eastAsia="es-ES_tradnl"/>
              </w:rPr>
              <w:t xml:space="preserve">  </w:t>
            </w:r>
          </w:p>
          <w:p w14:paraId="3C91A7F7" w14:textId="77777777" w:rsidR="00AC1EA7" w:rsidRPr="00D14A30" w:rsidRDefault="00AC1EA7" w:rsidP="0026778A">
            <w:pPr>
              <w:jc w:val="both"/>
              <w:rPr>
                <w:rFonts w:eastAsia="Calibri" w:cs="Arial"/>
                <w:lang w:val="es-CO" w:eastAsia="en-US"/>
              </w:rPr>
            </w:pPr>
          </w:p>
          <w:p w14:paraId="3AE58666" w14:textId="77777777" w:rsidR="00BA6EFD" w:rsidRPr="00D14A30" w:rsidRDefault="00BA6EFD" w:rsidP="00BA6EFD">
            <w:pPr>
              <w:ind w:left="494" w:hanging="283"/>
              <w:jc w:val="both"/>
              <w:rPr>
                <w:rFonts w:cs="Arial"/>
                <w:b/>
                <w:bCs/>
                <w:lang w:val="es-CO" w:eastAsia="es-CO"/>
              </w:rPr>
            </w:pPr>
            <w:r w:rsidRPr="00D14A30">
              <w:rPr>
                <w:rFonts w:cs="Arial"/>
                <w:b/>
                <w:bCs/>
                <w:lang w:val="es-CO" w:eastAsia="es-CO"/>
              </w:rPr>
              <w:t xml:space="preserve">3.5 Circunstancias jurídicas adicionales </w:t>
            </w:r>
          </w:p>
          <w:p w14:paraId="1261BE77" w14:textId="77777777" w:rsidR="00294DD1" w:rsidRPr="00D14A30" w:rsidRDefault="00294DD1" w:rsidP="00BA6EFD">
            <w:pPr>
              <w:jc w:val="both"/>
              <w:rPr>
                <w:rFonts w:cs="Arial"/>
              </w:rPr>
            </w:pPr>
          </w:p>
          <w:p w14:paraId="4AD492AD" w14:textId="77777777" w:rsidR="00860016" w:rsidRPr="00D14A30" w:rsidRDefault="00860016" w:rsidP="00860016">
            <w:pPr>
              <w:jc w:val="both"/>
              <w:rPr>
                <w:rFonts w:eastAsia="Calibri" w:cs="Arial"/>
                <w:lang w:val="es-CO" w:eastAsia="en-US"/>
              </w:rPr>
            </w:pPr>
            <w:r w:rsidRPr="00D14A30">
              <w:rPr>
                <w:rFonts w:eastAsia="Calibri" w:cs="Arial"/>
                <w:lang w:val="es-CO" w:eastAsia="en-US"/>
              </w:rPr>
              <w:t>N/A</w:t>
            </w:r>
          </w:p>
          <w:p w14:paraId="580BE092" w14:textId="77777777" w:rsidR="00AD346A" w:rsidRPr="00D14A30" w:rsidRDefault="00AD346A" w:rsidP="00BA6EFD">
            <w:pPr>
              <w:jc w:val="both"/>
              <w:rPr>
                <w:rFonts w:cs="Arial"/>
              </w:rPr>
            </w:pPr>
          </w:p>
          <w:p w14:paraId="5AB32631" w14:textId="77777777" w:rsidR="00BA6EFD" w:rsidRPr="00D14A30" w:rsidRDefault="00BA6EFD" w:rsidP="00AD346A">
            <w:pPr>
              <w:jc w:val="both"/>
              <w:rPr>
                <w:rFonts w:cs="Arial"/>
                <w:lang w:val="es-CO" w:eastAsia="es-CO"/>
              </w:rPr>
            </w:pPr>
          </w:p>
        </w:tc>
      </w:tr>
      <w:tr w:rsidR="0026778A" w:rsidRPr="00D14A30" w14:paraId="6949CF8A" w14:textId="77777777" w:rsidTr="0075705D">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B43A06" w14:textId="77777777" w:rsidR="0026778A" w:rsidRPr="00D14A30" w:rsidRDefault="0026778A">
            <w:pPr>
              <w:numPr>
                <w:ilvl w:val="0"/>
                <w:numId w:val="2"/>
              </w:numPr>
              <w:rPr>
                <w:rFonts w:cs="Arial"/>
                <w:b/>
              </w:rPr>
            </w:pPr>
            <w:r w:rsidRPr="00D14A30">
              <w:rPr>
                <w:rFonts w:cs="Arial"/>
                <w:b/>
              </w:rPr>
              <w:lastRenderedPageBreak/>
              <w:t xml:space="preserve">IMPACTO ECONÓMICO </w:t>
            </w:r>
            <w:r w:rsidRPr="00D14A30">
              <w:rPr>
                <w:rFonts w:cs="Arial"/>
              </w:rPr>
              <w:t>(N/A)</w:t>
            </w:r>
          </w:p>
          <w:p w14:paraId="2E22D89D" w14:textId="77777777" w:rsidR="0026778A" w:rsidRPr="00D14A30" w:rsidRDefault="0026778A" w:rsidP="0026778A">
            <w:pPr>
              <w:ind w:left="360"/>
              <w:jc w:val="both"/>
              <w:rPr>
                <w:rFonts w:cs="Arial"/>
              </w:rPr>
            </w:pPr>
          </w:p>
          <w:p w14:paraId="09DCD01C" w14:textId="77777777" w:rsidR="00440BEB" w:rsidRPr="00D14A30" w:rsidRDefault="0026778A" w:rsidP="00440BEB">
            <w:pPr>
              <w:jc w:val="both"/>
              <w:rPr>
                <w:rFonts w:cs="Arial"/>
              </w:rPr>
            </w:pPr>
            <w:r w:rsidRPr="00D14A30">
              <w:rPr>
                <w:rFonts w:cs="Arial"/>
              </w:rPr>
              <w:t>El</w:t>
            </w:r>
            <w:r w:rsidR="00294DD1" w:rsidRPr="00D14A30">
              <w:rPr>
                <w:rFonts w:cs="Arial"/>
              </w:rPr>
              <w:t xml:space="preserve"> impacto económico est</w:t>
            </w:r>
            <w:r w:rsidR="00AC1EA7" w:rsidRPr="00D14A30">
              <w:rPr>
                <w:rFonts w:cs="Arial"/>
              </w:rPr>
              <w:t>ará</w:t>
            </w:r>
            <w:r w:rsidR="00294DD1" w:rsidRPr="00D14A30">
              <w:rPr>
                <w:rFonts w:cs="Arial"/>
              </w:rPr>
              <w:t xml:space="preserve"> ligado a la demanda de las medidas de protección</w:t>
            </w:r>
            <w:r w:rsidR="009B164A" w:rsidRPr="00D14A30">
              <w:rPr>
                <w:rFonts w:cs="Arial"/>
              </w:rPr>
              <w:t>, para</w:t>
            </w:r>
            <w:r w:rsidR="00440BEB" w:rsidRPr="00D14A30">
              <w:rPr>
                <w:rFonts w:cs="Arial"/>
              </w:rPr>
              <w:t xml:space="preserve"> el caso de los </w:t>
            </w:r>
            <w:r w:rsidR="00440BEB" w:rsidRPr="00D14A30">
              <w:rPr>
                <w:rFonts w:cs="Arial"/>
                <w:lang w:eastAsia="es-CO"/>
              </w:rPr>
              <w:t>M</w:t>
            </w:r>
            <w:r w:rsidR="00440BEB" w:rsidRPr="00D14A30">
              <w:rPr>
                <w:rFonts w:cs="Arial"/>
              </w:rPr>
              <w:t xml:space="preserve">agistrados de las Salas de reconocimiento de verdad, de responsabilidad y de determinación de los hechos y conductas, </w:t>
            </w:r>
            <w:r w:rsidR="00440BEB" w:rsidRPr="00D14A30">
              <w:rPr>
                <w:rFonts w:cs="Arial"/>
                <w:shd w:val="clear" w:color="auto" w:fill="FFFFFF"/>
              </w:rPr>
              <w:t xml:space="preserve">los Fiscales ante las Salas y Secciones y el Secretario Ejecutivo de la JEP, se dará </w:t>
            </w:r>
            <w:r w:rsidR="009B164A" w:rsidRPr="00D14A30">
              <w:rPr>
                <w:rFonts w:cs="Arial"/>
              </w:rPr>
              <w:t>aplicación a la regula</w:t>
            </w:r>
            <w:r w:rsidR="00440BEB" w:rsidRPr="00D14A30">
              <w:rPr>
                <w:rFonts w:cs="Arial"/>
              </w:rPr>
              <w:t xml:space="preserve">do </w:t>
            </w:r>
            <w:r w:rsidR="00E15003" w:rsidRPr="00D14A30">
              <w:rPr>
                <w:rFonts w:cs="Arial"/>
              </w:rPr>
              <w:t>en el parágrafo 2 del artículo 2.41.2.6</w:t>
            </w:r>
            <w:r w:rsidR="00440BEB" w:rsidRPr="00D14A30">
              <w:rPr>
                <w:rFonts w:cs="Arial"/>
              </w:rPr>
              <w:t xml:space="preserve"> del Decreto 1066 de 2015; y para los magistrados del </w:t>
            </w:r>
            <w:r w:rsidR="00AC1EA7" w:rsidRPr="00D14A30">
              <w:rPr>
                <w:rFonts w:cs="Arial"/>
              </w:rPr>
              <w:t>C</w:t>
            </w:r>
            <w:r w:rsidR="00860016" w:rsidRPr="00D14A30">
              <w:rPr>
                <w:rFonts w:cs="Arial"/>
              </w:rPr>
              <w:t>onsejo Nacional Electora</w:t>
            </w:r>
            <w:r w:rsidR="00440BEB" w:rsidRPr="00D14A30">
              <w:rPr>
                <w:rFonts w:cs="Arial"/>
              </w:rPr>
              <w:t>l lo establecido parágrafo 2 del artículo 2.41.2.7 del Decreto 1066 de 2015.</w:t>
            </w:r>
          </w:p>
          <w:p w14:paraId="77288A2D" w14:textId="77777777" w:rsidR="00294DD1" w:rsidRPr="00D14A30" w:rsidRDefault="00AC1EA7" w:rsidP="00440BEB">
            <w:pPr>
              <w:jc w:val="both"/>
              <w:rPr>
                <w:rFonts w:cs="Arial"/>
              </w:rPr>
            </w:pPr>
            <w:r w:rsidRPr="00D14A30">
              <w:rPr>
                <w:rFonts w:cs="Arial"/>
              </w:rPr>
              <w:t xml:space="preserve"> </w:t>
            </w:r>
          </w:p>
        </w:tc>
      </w:tr>
      <w:tr w:rsidR="0026778A" w:rsidRPr="00D14A30" w14:paraId="7E7E640C" w14:textId="77777777" w:rsidTr="0075705D">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ABD040" w14:textId="77777777" w:rsidR="0026778A" w:rsidRPr="00D14A30" w:rsidRDefault="0026778A" w:rsidP="0026778A">
            <w:pPr>
              <w:rPr>
                <w:rFonts w:cs="Arial"/>
                <w:b/>
                <w:color w:val="000000"/>
              </w:rPr>
            </w:pPr>
          </w:p>
          <w:p w14:paraId="0D610F67" w14:textId="77777777" w:rsidR="0026778A" w:rsidRPr="00D14A30" w:rsidRDefault="0026778A">
            <w:pPr>
              <w:numPr>
                <w:ilvl w:val="0"/>
                <w:numId w:val="2"/>
              </w:numPr>
              <w:rPr>
                <w:rFonts w:cs="Arial"/>
                <w:b/>
                <w:color w:val="000000"/>
              </w:rPr>
            </w:pPr>
            <w:r w:rsidRPr="00D14A30">
              <w:rPr>
                <w:rFonts w:cs="Arial"/>
                <w:b/>
                <w:color w:val="000000"/>
              </w:rPr>
              <w:t xml:space="preserve">VIABILIDAD O DISPONIBILIDAD PRESUPUESTAL </w:t>
            </w:r>
            <w:r w:rsidRPr="00D14A30">
              <w:rPr>
                <w:rFonts w:cs="Arial"/>
                <w:color w:val="000000"/>
              </w:rPr>
              <w:t>(Si se requiere)</w:t>
            </w:r>
          </w:p>
          <w:p w14:paraId="5F98A853" w14:textId="77777777" w:rsidR="0026778A" w:rsidRPr="00D14A30" w:rsidRDefault="0026778A" w:rsidP="004E3575">
            <w:pPr>
              <w:pStyle w:val="Listavistosa-nfasis11"/>
              <w:jc w:val="both"/>
              <w:rPr>
                <w:sz w:val="20"/>
                <w:szCs w:val="20"/>
              </w:rPr>
            </w:pPr>
            <w:r w:rsidRPr="00D14A30">
              <w:rPr>
                <w:rFonts w:ascii="Arial" w:hAnsi="Arial" w:cs="Arial"/>
                <w:i/>
                <w:color w:val="808080"/>
                <w:sz w:val="20"/>
                <w:szCs w:val="20"/>
              </w:rPr>
              <w:t xml:space="preserve">(Por favor indique si cuenta con los recursos presupuestales disponibles para la implementación del proyecto normativo) </w:t>
            </w:r>
          </w:p>
        </w:tc>
      </w:tr>
      <w:tr w:rsidR="0026778A" w:rsidRPr="00D14A30" w14:paraId="72E39AE1" w14:textId="77777777" w:rsidTr="00696582">
        <w:trPr>
          <w:trHeight w:val="1295"/>
        </w:trPr>
        <w:tc>
          <w:tcPr>
            <w:tcW w:w="10774" w:type="dxa"/>
            <w:gridSpan w:val="3"/>
            <w:tcBorders>
              <w:top w:val="single" w:sz="4" w:space="0" w:color="auto"/>
              <w:bottom w:val="single" w:sz="4" w:space="0" w:color="auto"/>
            </w:tcBorders>
            <w:shd w:val="clear" w:color="auto" w:fill="FFFFFF"/>
            <w:vAlign w:val="center"/>
          </w:tcPr>
          <w:p w14:paraId="51D10FC7" w14:textId="77777777" w:rsidR="0026778A" w:rsidRPr="00D14A30" w:rsidRDefault="0026778A">
            <w:pPr>
              <w:numPr>
                <w:ilvl w:val="0"/>
                <w:numId w:val="2"/>
              </w:numPr>
              <w:jc w:val="both"/>
              <w:rPr>
                <w:rFonts w:cs="Arial"/>
                <w:b/>
                <w:color w:val="000000"/>
              </w:rPr>
            </w:pPr>
            <w:r w:rsidRPr="00D14A30">
              <w:rPr>
                <w:rFonts w:cs="Arial"/>
                <w:b/>
                <w:color w:val="000000"/>
              </w:rPr>
              <w:t xml:space="preserve"> IMPACTO MEDIOAMBIENTAL O SOBRE EL PATRIMONIO CULTURAL DE LA NACIÓN </w:t>
            </w:r>
            <w:r w:rsidRPr="00D14A30">
              <w:rPr>
                <w:rFonts w:cs="Arial"/>
                <w:color w:val="000000"/>
              </w:rPr>
              <w:t>(Si se requiere)</w:t>
            </w:r>
          </w:p>
          <w:p w14:paraId="5C572307" w14:textId="77777777" w:rsidR="0026778A" w:rsidRPr="00D14A30" w:rsidRDefault="0026778A" w:rsidP="004E3575">
            <w:pPr>
              <w:ind w:left="778"/>
              <w:jc w:val="both"/>
              <w:rPr>
                <w:rFonts w:cs="Arial"/>
                <w:b/>
                <w:color w:val="000000"/>
              </w:rPr>
            </w:pPr>
            <w:r w:rsidRPr="00D14A30">
              <w:rPr>
                <w:rFonts w:cs="Arial"/>
                <w:i/>
                <w:color w:val="808080"/>
              </w:rPr>
              <w:t>(Por favor indique el proyecto normativo tiene impacto sobre el medio ambiente o el Patrimonio cultural de la Nación)</w:t>
            </w:r>
          </w:p>
          <w:p w14:paraId="15E7A64D" w14:textId="77777777" w:rsidR="0026778A" w:rsidRPr="00D14A30" w:rsidRDefault="0026778A" w:rsidP="0026778A">
            <w:pPr>
              <w:jc w:val="both"/>
              <w:rPr>
                <w:rFonts w:cs="Arial"/>
                <w:b/>
                <w:color w:val="000000"/>
              </w:rPr>
            </w:pPr>
          </w:p>
        </w:tc>
      </w:tr>
      <w:tr w:rsidR="0026778A" w:rsidRPr="00D14A30" w14:paraId="0EE726A6"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20B9B1CF" w14:textId="77777777" w:rsidR="0026778A" w:rsidRPr="00D14A30" w:rsidRDefault="0026778A">
            <w:pPr>
              <w:numPr>
                <w:ilvl w:val="0"/>
                <w:numId w:val="2"/>
              </w:numPr>
              <w:jc w:val="both"/>
              <w:rPr>
                <w:rFonts w:cs="Arial"/>
              </w:rPr>
            </w:pPr>
            <w:r w:rsidRPr="00D14A30">
              <w:rPr>
                <w:rFonts w:cs="Arial"/>
                <w:b/>
              </w:rPr>
              <w:t>ESTUDIOS TÉCNICOS QUE SUSTENTEN EL PROYECTO NORMATIVO</w:t>
            </w:r>
            <w:r w:rsidRPr="00D14A30">
              <w:rPr>
                <w:rFonts w:cs="Arial"/>
              </w:rPr>
              <w:t xml:space="preserve"> (Si cuenta con ellos) </w:t>
            </w:r>
          </w:p>
        </w:tc>
      </w:tr>
      <w:tr w:rsidR="0026778A" w:rsidRPr="00D14A30" w14:paraId="3E81BA99"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54C2569D" w14:textId="77777777" w:rsidR="0026778A" w:rsidRPr="00D14A30" w:rsidRDefault="0026778A" w:rsidP="0026778A">
            <w:pPr>
              <w:jc w:val="center"/>
              <w:rPr>
                <w:rFonts w:cs="Arial"/>
                <w:u w:val="single"/>
              </w:rPr>
            </w:pPr>
          </w:p>
        </w:tc>
      </w:tr>
      <w:tr w:rsidR="0026778A" w:rsidRPr="00D14A30" w14:paraId="66CAB64B" w14:textId="77777777" w:rsidTr="00696582">
        <w:trPr>
          <w:trHeight w:val="416"/>
        </w:trPr>
        <w:tc>
          <w:tcPr>
            <w:tcW w:w="10774" w:type="dxa"/>
            <w:gridSpan w:val="3"/>
            <w:tcBorders>
              <w:top w:val="single" w:sz="4" w:space="0" w:color="auto"/>
              <w:bottom w:val="single" w:sz="4" w:space="0" w:color="auto"/>
            </w:tcBorders>
            <w:shd w:val="clear" w:color="auto" w:fill="5B8AFF"/>
            <w:vAlign w:val="center"/>
          </w:tcPr>
          <w:p w14:paraId="11E05933" w14:textId="77777777" w:rsidR="0026778A" w:rsidRPr="00D14A30" w:rsidRDefault="0026778A" w:rsidP="0026778A">
            <w:pPr>
              <w:jc w:val="center"/>
              <w:rPr>
                <w:rFonts w:cs="Arial"/>
                <w:color w:val="FFFFFF"/>
              </w:rPr>
            </w:pPr>
            <w:r w:rsidRPr="00D14A30">
              <w:rPr>
                <w:rFonts w:cs="Arial"/>
                <w:b/>
                <w:color w:val="FFFFFF"/>
              </w:rPr>
              <w:t>ANEXOS:</w:t>
            </w:r>
            <w:r w:rsidRPr="00D14A30">
              <w:rPr>
                <w:rFonts w:cs="Arial"/>
                <w:color w:val="FFFFFF"/>
              </w:rPr>
              <w:t xml:space="preserve"> </w:t>
            </w:r>
          </w:p>
        </w:tc>
      </w:tr>
      <w:tr w:rsidR="0026778A" w:rsidRPr="00D14A30" w14:paraId="47414367"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09C04101" w14:textId="77777777" w:rsidR="00476015" w:rsidRPr="00D14A30" w:rsidRDefault="00476015" w:rsidP="00476015">
            <w:pPr>
              <w:jc w:val="both"/>
              <w:rPr>
                <w:rFonts w:cs="Arial"/>
              </w:rPr>
            </w:pPr>
            <w:r w:rsidRPr="00D14A30">
              <w:rPr>
                <w:rFonts w:cs="Arial"/>
              </w:rPr>
              <w:t xml:space="preserve">Certificación de cumplimiento de requisitos de consulta, publicidad y de incorporación en la agenda regulatoria </w:t>
            </w:r>
          </w:p>
          <w:p w14:paraId="2F8A6A1A" w14:textId="77777777" w:rsidR="00476015" w:rsidRPr="00D14A30" w:rsidRDefault="00476015" w:rsidP="00476015">
            <w:pPr>
              <w:jc w:val="both"/>
              <w:rPr>
                <w:rFonts w:cs="Arial"/>
              </w:rPr>
            </w:pPr>
          </w:p>
          <w:p w14:paraId="6C153DC3" w14:textId="77777777" w:rsidR="0026778A" w:rsidRPr="00D14A30" w:rsidRDefault="00476015" w:rsidP="00476015">
            <w:pPr>
              <w:jc w:val="both"/>
              <w:rPr>
                <w:rFonts w:cs="Arial"/>
                <w:i/>
                <w:color w:val="808080"/>
              </w:rPr>
            </w:pPr>
            <w:r w:rsidRPr="00D14A30">
              <w:rPr>
                <w:rFonts w:cs="Arial"/>
              </w:rPr>
              <w:t xml:space="preserve">El proyecto de decreto fue publicado por 5 días </w:t>
            </w:r>
            <w:r w:rsidR="00D92FFB" w:rsidRPr="00D14A30">
              <w:rPr>
                <w:rFonts w:cs="Arial"/>
              </w:rPr>
              <w:t>calendarios</w:t>
            </w:r>
            <w:r w:rsidRPr="00D14A30">
              <w:rPr>
                <w:rFonts w:cs="Arial"/>
              </w:rPr>
              <w:t xml:space="preserve"> a través de la página web del Ministerio del Interior</w:t>
            </w:r>
          </w:p>
        </w:tc>
        <w:tc>
          <w:tcPr>
            <w:tcW w:w="3119" w:type="dxa"/>
            <w:tcBorders>
              <w:top w:val="single" w:sz="4" w:space="0" w:color="auto"/>
              <w:left w:val="single" w:sz="4" w:space="0" w:color="auto"/>
              <w:bottom w:val="single" w:sz="4" w:space="0" w:color="auto"/>
            </w:tcBorders>
            <w:shd w:val="clear" w:color="auto" w:fill="FFFFFF"/>
            <w:vAlign w:val="center"/>
          </w:tcPr>
          <w:p w14:paraId="05EF4546" w14:textId="77777777" w:rsidR="0026778A" w:rsidRPr="00D14A30" w:rsidRDefault="00476015" w:rsidP="00476015">
            <w:pPr>
              <w:jc w:val="center"/>
              <w:rPr>
                <w:rFonts w:cs="Arial"/>
                <w:i/>
                <w:color w:val="808080"/>
              </w:rPr>
            </w:pPr>
            <w:r w:rsidRPr="00D14A30">
              <w:rPr>
                <w:rFonts w:cs="Arial"/>
                <w:i/>
                <w:color w:val="808080"/>
              </w:rPr>
              <w:t>X</w:t>
            </w:r>
          </w:p>
        </w:tc>
      </w:tr>
      <w:tr w:rsidR="00476015" w:rsidRPr="00D14A30" w14:paraId="03B0487D"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DC3B05E" w14:textId="77777777" w:rsidR="00476015" w:rsidRPr="00D14A30" w:rsidRDefault="00476015" w:rsidP="00476015">
            <w:pPr>
              <w:jc w:val="both"/>
              <w:rPr>
                <w:rFonts w:cs="Arial"/>
              </w:rPr>
            </w:pPr>
            <w:r w:rsidRPr="00D14A30">
              <w:rPr>
                <w:rFonts w:cs="Arial"/>
              </w:rPr>
              <w:t>Concepto(s) de Ministerio de Comercio, Industria y Turismo</w:t>
            </w:r>
          </w:p>
          <w:p w14:paraId="4751D9D8" w14:textId="77777777" w:rsidR="00476015" w:rsidRPr="00D14A30" w:rsidRDefault="00476015" w:rsidP="00476015">
            <w:pPr>
              <w:jc w:val="both"/>
              <w:rPr>
                <w:rFonts w:cs="Arial"/>
                <w:i/>
                <w:color w:val="808080"/>
              </w:rPr>
            </w:pPr>
            <w:r w:rsidRPr="00D14A30">
              <w:rPr>
                <w:rFonts w:cs="Arial"/>
                <w:i/>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2A1F0930" w14:textId="77777777" w:rsidR="00476015" w:rsidRPr="00D14A30" w:rsidRDefault="00476015" w:rsidP="00476015">
            <w:pPr>
              <w:jc w:val="both"/>
              <w:rPr>
                <w:rFonts w:cs="Arial"/>
                <w:i/>
                <w:color w:val="808080"/>
              </w:rPr>
            </w:pPr>
          </w:p>
        </w:tc>
      </w:tr>
      <w:tr w:rsidR="00476015" w:rsidRPr="00D14A30" w14:paraId="369AEB4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CD992EB" w14:textId="77777777" w:rsidR="00476015" w:rsidRPr="00D14A30" w:rsidRDefault="00476015" w:rsidP="00476015">
            <w:pPr>
              <w:jc w:val="both"/>
              <w:rPr>
                <w:rFonts w:cs="Arial"/>
              </w:rPr>
            </w:pPr>
            <w:r w:rsidRPr="00D14A30">
              <w:rPr>
                <w:rFonts w:cs="Arial"/>
              </w:rPr>
              <w:t xml:space="preserve">Informe de observaciones y respuestas </w:t>
            </w:r>
          </w:p>
          <w:p w14:paraId="61E5FAFD" w14:textId="77777777" w:rsidR="00476015" w:rsidRPr="00D14A30" w:rsidRDefault="00476015" w:rsidP="00476015">
            <w:pPr>
              <w:jc w:val="both"/>
              <w:rPr>
                <w:rFonts w:cs="Arial"/>
                <w:i/>
                <w:color w:val="808080"/>
              </w:rPr>
            </w:pPr>
            <w:r w:rsidRPr="00D14A30">
              <w:rPr>
                <w:rFonts w:cs="Arial"/>
                <w:i/>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4EDAAFE6" w14:textId="77777777" w:rsidR="00476015" w:rsidRPr="00D14A30" w:rsidRDefault="00476015" w:rsidP="00476015">
            <w:pPr>
              <w:jc w:val="center"/>
              <w:rPr>
                <w:rFonts w:cs="Arial"/>
                <w:i/>
                <w:color w:val="808080"/>
              </w:rPr>
            </w:pPr>
          </w:p>
        </w:tc>
      </w:tr>
      <w:tr w:rsidR="00476015" w:rsidRPr="00D14A30" w14:paraId="1F9DADF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0413C76" w14:textId="77777777" w:rsidR="00476015" w:rsidRPr="00D14A30" w:rsidRDefault="00476015" w:rsidP="00476015">
            <w:pPr>
              <w:jc w:val="both"/>
              <w:rPr>
                <w:rFonts w:cs="Arial"/>
              </w:rPr>
            </w:pPr>
            <w:r w:rsidRPr="00D14A30">
              <w:rPr>
                <w:rFonts w:cs="Arial"/>
              </w:rPr>
              <w:t>Concepto de Abogacía de la Competencia de la Superintendencia de Industria y Comercio</w:t>
            </w:r>
          </w:p>
          <w:p w14:paraId="11B97F1E" w14:textId="77777777" w:rsidR="00476015" w:rsidRPr="00D14A30" w:rsidRDefault="00476015" w:rsidP="00476015">
            <w:pPr>
              <w:jc w:val="both"/>
              <w:rPr>
                <w:rFonts w:cs="Arial"/>
                <w:i/>
                <w:color w:val="808080"/>
              </w:rPr>
            </w:pPr>
            <w:r w:rsidRPr="00D14A30">
              <w:rPr>
                <w:rFonts w:cs="Arial"/>
                <w:i/>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144E6C4E" w14:textId="77777777" w:rsidR="00476015" w:rsidRPr="00D14A30" w:rsidRDefault="00476015" w:rsidP="00476015">
            <w:pPr>
              <w:jc w:val="both"/>
              <w:rPr>
                <w:rFonts w:cs="Arial"/>
                <w:i/>
                <w:color w:val="808080"/>
              </w:rPr>
            </w:pPr>
          </w:p>
        </w:tc>
      </w:tr>
      <w:tr w:rsidR="00476015" w:rsidRPr="00D14A30" w14:paraId="2311E1AB"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F2807CA" w14:textId="77777777" w:rsidR="00476015" w:rsidRPr="00D14A30" w:rsidRDefault="00476015" w:rsidP="00476015">
            <w:pPr>
              <w:jc w:val="both"/>
              <w:rPr>
                <w:rFonts w:cs="Arial"/>
              </w:rPr>
            </w:pPr>
            <w:r w:rsidRPr="00D14A30">
              <w:rPr>
                <w:rFonts w:cs="Arial"/>
              </w:rPr>
              <w:t xml:space="preserve">Otro </w:t>
            </w:r>
          </w:p>
          <w:p w14:paraId="3DBFC486" w14:textId="77777777" w:rsidR="00476015" w:rsidRPr="00D14A30" w:rsidRDefault="00476015" w:rsidP="00476015">
            <w:pPr>
              <w:jc w:val="both"/>
              <w:rPr>
                <w:rFonts w:cs="Arial"/>
                <w:i/>
                <w:color w:val="808080"/>
              </w:rPr>
            </w:pPr>
          </w:p>
          <w:p w14:paraId="00E31124" w14:textId="77777777" w:rsidR="00476015" w:rsidRPr="00D14A30" w:rsidRDefault="00476015" w:rsidP="00476015">
            <w:pPr>
              <w:jc w:val="both"/>
              <w:rPr>
                <w:rFonts w:cs="Arial"/>
                <w:i/>
                <w:color w:val="808080"/>
              </w:rPr>
            </w:pPr>
          </w:p>
        </w:tc>
        <w:tc>
          <w:tcPr>
            <w:tcW w:w="3119" w:type="dxa"/>
            <w:tcBorders>
              <w:top w:val="single" w:sz="4" w:space="0" w:color="auto"/>
              <w:left w:val="single" w:sz="4" w:space="0" w:color="auto"/>
              <w:bottom w:val="single" w:sz="4" w:space="0" w:color="auto"/>
            </w:tcBorders>
            <w:shd w:val="clear" w:color="auto" w:fill="FFFFFF"/>
            <w:vAlign w:val="center"/>
          </w:tcPr>
          <w:p w14:paraId="221537FE" w14:textId="77777777" w:rsidR="00476015" w:rsidRPr="00D14A30" w:rsidRDefault="00476015" w:rsidP="00476015">
            <w:pPr>
              <w:jc w:val="both"/>
              <w:rPr>
                <w:rFonts w:cs="Arial"/>
                <w:i/>
                <w:color w:val="808080"/>
              </w:rPr>
            </w:pPr>
          </w:p>
        </w:tc>
      </w:tr>
    </w:tbl>
    <w:p w14:paraId="000B2CA9" w14:textId="77777777" w:rsidR="00301DC2" w:rsidRPr="00D14A30" w:rsidRDefault="00301DC2" w:rsidP="00587695">
      <w:pPr>
        <w:ind w:right="-377"/>
        <w:jc w:val="both"/>
        <w:rPr>
          <w:rFonts w:cs="Arial"/>
        </w:rPr>
      </w:pPr>
    </w:p>
    <w:p w14:paraId="47BD0ED2" w14:textId="77777777" w:rsidR="00440BEB" w:rsidRPr="00D14A30" w:rsidRDefault="00440BEB" w:rsidP="00696582">
      <w:pPr>
        <w:ind w:left="-1276" w:right="-377" w:firstLine="283"/>
        <w:jc w:val="both"/>
        <w:rPr>
          <w:rFonts w:cs="Arial"/>
          <w:b/>
        </w:rPr>
      </w:pPr>
    </w:p>
    <w:p w14:paraId="3AEE720F" w14:textId="77777777" w:rsidR="00440BEB" w:rsidRPr="00D14A30" w:rsidRDefault="00440BEB" w:rsidP="00696582">
      <w:pPr>
        <w:ind w:left="-1276" w:right="-377" w:firstLine="283"/>
        <w:jc w:val="both"/>
        <w:rPr>
          <w:rFonts w:cs="Arial"/>
          <w:b/>
        </w:rPr>
      </w:pPr>
    </w:p>
    <w:p w14:paraId="689A7832" w14:textId="77777777" w:rsidR="00440BEB" w:rsidRPr="00D14A30" w:rsidRDefault="00440BEB" w:rsidP="00696582">
      <w:pPr>
        <w:ind w:left="-1276" w:right="-377" w:firstLine="283"/>
        <w:jc w:val="both"/>
        <w:rPr>
          <w:rFonts w:cs="Arial"/>
          <w:b/>
        </w:rPr>
      </w:pPr>
    </w:p>
    <w:p w14:paraId="090212B3" w14:textId="77777777" w:rsidR="00440BEB" w:rsidRPr="00D14A30" w:rsidRDefault="00440BEB" w:rsidP="00696582">
      <w:pPr>
        <w:ind w:left="-1276" w:right="-377" w:firstLine="283"/>
        <w:jc w:val="both"/>
        <w:rPr>
          <w:rFonts w:cs="Arial"/>
          <w:b/>
        </w:rPr>
      </w:pPr>
    </w:p>
    <w:p w14:paraId="2F940C29" w14:textId="77777777" w:rsidR="00440BEB" w:rsidRPr="00D14A30" w:rsidRDefault="00440BEB" w:rsidP="00696582">
      <w:pPr>
        <w:ind w:left="-1276" w:right="-377" w:firstLine="283"/>
        <w:jc w:val="both"/>
        <w:rPr>
          <w:rFonts w:cs="Arial"/>
          <w:b/>
        </w:rPr>
      </w:pPr>
    </w:p>
    <w:p w14:paraId="5DA33E09" w14:textId="77777777" w:rsidR="00440BEB" w:rsidRPr="00D14A30" w:rsidRDefault="00440BEB" w:rsidP="00696582">
      <w:pPr>
        <w:ind w:left="-1276" w:right="-377" w:firstLine="283"/>
        <w:jc w:val="both"/>
        <w:rPr>
          <w:rFonts w:cs="Arial"/>
          <w:b/>
        </w:rPr>
      </w:pPr>
    </w:p>
    <w:p w14:paraId="5A8FC180" w14:textId="77777777" w:rsidR="00440BEB" w:rsidRPr="00D14A30" w:rsidRDefault="00440BEB" w:rsidP="00696582">
      <w:pPr>
        <w:ind w:left="-1276" w:right="-377" w:firstLine="283"/>
        <w:jc w:val="both"/>
        <w:rPr>
          <w:rFonts w:cs="Arial"/>
          <w:b/>
        </w:rPr>
      </w:pPr>
    </w:p>
    <w:p w14:paraId="57FF2A5C" w14:textId="77777777" w:rsidR="00440BEB" w:rsidRPr="00D14A30" w:rsidRDefault="00440BEB" w:rsidP="00696582">
      <w:pPr>
        <w:ind w:left="-1276" w:right="-377" w:firstLine="283"/>
        <w:jc w:val="both"/>
        <w:rPr>
          <w:rFonts w:cs="Arial"/>
          <w:b/>
        </w:rPr>
      </w:pPr>
    </w:p>
    <w:p w14:paraId="7308E39C" w14:textId="77777777" w:rsidR="00440BEB" w:rsidRPr="00D14A30" w:rsidRDefault="00440BEB" w:rsidP="00440BEB">
      <w:pPr>
        <w:ind w:left="-1276" w:right="-377" w:firstLine="283"/>
        <w:jc w:val="both"/>
        <w:rPr>
          <w:rFonts w:cs="Arial"/>
        </w:rPr>
      </w:pPr>
      <w:r w:rsidRPr="00D14A30">
        <w:rPr>
          <w:rFonts w:cs="Arial"/>
          <w:b/>
        </w:rPr>
        <w:t>Aprobó:</w:t>
      </w:r>
    </w:p>
    <w:p w14:paraId="3710CFDC" w14:textId="77777777" w:rsidR="00440BEB" w:rsidRPr="00D14A30" w:rsidRDefault="00440BEB" w:rsidP="00440BEB">
      <w:pPr>
        <w:ind w:left="-1276" w:right="-377"/>
        <w:jc w:val="both"/>
        <w:rPr>
          <w:rFonts w:cs="Arial"/>
        </w:rPr>
      </w:pPr>
    </w:p>
    <w:p w14:paraId="1B02EBE3" w14:textId="77777777" w:rsidR="00440BEB" w:rsidRPr="00D14A30" w:rsidRDefault="00440BEB" w:rsidP="00440BEB">
      <w:pPr>
        <w:pStyle w:val="Listavistosa-nfasis11"/>
        <w:jc w:val="both"/>
        <w:rPr>
          <w:rFonts w:ascii="Arial" w:hAnsi="Arial" w:cs="Arial"/>
          <w:b/>
          <w:sz w:val="20"/>
          <w:szCs w:val="20"/>
        </w:rPr>
      </w:pPr>
      <w:r w:rsidRPr="00D14A30">
        <w:rPr>
          <w:rFonts w:ascii="Arial" w:hAnsi="Arial" w:cs="Arial"/>
          <w:b/>
          <w:sz w:val="20"/>
          <w:szCs w:val="20"/>
        </w:rPr>
        <w:t>_________________</w:t>
      </w:r>
    </w:p>
    <w:p w14:paraId="5A202972" w14:textId="77777777" w:rsidR="00440BEB" w:rsidRPr="00D14A30" w:rsidRDefault="00440BEB" w:rsidP="00440BEB">
      <w:pPr>
        <w:pStyle w:val="Listavistosa-nfasis11"/>
        <w:rPr>
          <w:rFonts w:ascii="Arial" w:hAnsi="Arial" w:cs="Arial"/>
          <w:b/>
          <w:sz w:val="20"/>
          <w:szCs w:val="20"/>
        </w:rPr>
      </w:pPr>
      <w:r w:rsidRPr="00D14A30">
        <w:rPr>
          <w:rFonts w:ascii="Arial" w:hAnsi="Arial" w:cs="Arial"/>
          <w:b/>
          <w:sz w:val="20"/>
          <w:szCs w:val="20"/>
        </w:rPr>
        <w:t xml:space="preserve">Yolima Herrera Martínez </w:t>
      </w:r>
    </w:p>
    <w:p w14:paraId="1EE2ED48" w14:textId="77777777" w:rsidR="00440BEB" w:rsidRPr="00D14A30" w:rsidRDefault="00440BEB" w:rsidP="00440BEB">
      <w:pPr>
        <w:pStyle w:val="Listavistosa-nfasis11"/>
        <w:rPr>
          <w:rFonts w:ascii="Arial" w:hAnsi="Arial" w:cs="Arial"/>
          <w:bCs/>
          <w:sz w:val="20"/>
          <w:szCs w:val="20"/>
        </w:rPr>
      </w:pPr>
      <w:r w:rsidRPr="00D14A30">
        <w:rPr>
          <w:rFonts w:ascii="Arial" w:hAnsi="Arial" w:cs="Arial"/>
          <w:bCs/>
          <w:sz w:val="20"/>
          <w:szCs w:val="20"/>
        </w:rPr>
        <w:t xml:space="preserve">Jefe Oficina Asesora Jurídica Ministerio del Interior </w:t>
      </w:r>
    </w:p>
    <w:p w14:paraId="02B5A818" w14:textId="77777777" w:rsidR="00440BEB" w:rsidRPr="00D14A30" w:rsidRDefault="00440BEB" w:rsidP="00440BEB">
      <w:pPr>
        <w:pStyle w:val="Listavistosa-nfasis11"/>
        <w:ind w:left="-993"/>
        <w:rPr>
          <w:rFonts w:ascii="Arial" w:hAnsi="Arial" w:cs="Arial"/>
          <w:b/>
          <w:sz w:val="20"/>
          <w:szCs w:val="20"/>
        </w:rPr>
      </w:pPr>
    </w:p>
    <w:p w14:paraId="0DFE5865" w14:textId="77777777" w:rsidR="00440BEB" w:rsidRPr="00D14A30" w:rsidRDefault="00440BEB" w:rsidP="00440BEB">
      <w:pPr>
        <w:pStyle w:val="Listavistosa-nfasis11"/>
        <w:ind w:left="-993"/>
        <w:rPr>
          <w:rFonts w:ascii="Arial" w:hAnsi="Arial" w:cs="Arial"/>
          <w:b/>
          <w:sz w:val="20"/>
          <w:szCs w:val="20"/>
        </w:rPr>
      </w:pPr>
      <w:r w:rsidRPr="00D14A30">
        <w:rPr>
          <w:rFonts w:ascii="Arial" w:hAnsi="Arial" w:cs="Arial"/>
          <w:b/>
          <w:sz w:val="20"/>
          <w:szCs w:val="20"/>
        </w:rPr>
        <w:t>Elaboró:</w:t>
      </w:r>
    </w:p>
    <w:p w14:paraId="7191CC98" w14:textId="77777777" w:rsidR="00440BEB" w:rsidRPr="00D14A30" w:rsidRDefault="00440BEB" w:rsidP="00440BEB">
      <w:pPr>
        <w:pStyle w:val="Listavistosa-nfasis11"/>
        <w:rPr>
          <w:rFonts w:ascii="Arial" w:hAnsi="Arial" w:cs="Arial"/>
          <w:b/>
          <w:sz w:val="20"/>
          <w:szCs w:val="20"/>
        </w:rPr>
      </w:pPr>
    </w:p>
    <w:p w14:paraId="0162D304" w14:textId="77777777" w:rsidR="00440BEB" w:rsidRPr="00D14A30" w:rsidRDefault="00440BEB" w:rsidP="00440BEB">
      <w:pPr>
        <w:pStyle w:val="Listavistosa-nfasis11"/>
        <w:rPr>
          <w:rFonts w:ascii="Arial" w:hAnsi="Arial" w:cs="Arial"/>
          <w:b/>
          <w:sz w:val="20"/>
          <w:szCs w:val="20"/>
        </w:rPr>
      </w:pPr>
      <w:r w:rsidRPr="00D14A30">
        <w:rPr>
          <w:rFonts w:ascii="Arial" w:hAnsi="Arial" w:cs="Arial"/>
          <w:b/>
          <w:sz w:val="20"/>
          <w:szCs w:val="20"/>
        </w:rPr>
        <w:t>___________________________</w:t>
      </w:r>
    </w:p>
    <w:p w14:paraId="4745F43A" w14:textId="77777777" w:rsidR="00440BEB" w:rsidRPr="00D14A30" w:rsidRDefault="00440BEB" w:rsidP="00440BEB">
      <w:pPr>
        <w:pStyle w:val="Listavistosa-nfasis11"/>
        <w:rPr>
          <w:rFonts w:ascii="Arial" w:hAnsi="Arial" w:cs="Arial"/>
          <w:b/>
          <w:sz w:val="20"/>
          <w:szCs w:val="20"/>
        </w:rPr>
      </w:pPr>
      <w:r w:rsidRPr="00D14A30">
        <w:rPr>
          <w:rFonts w:ascii="Arial" w:hAnsi="Arial" w:cs="Arial"/>
          <w:b/>
          <w:sz w:val="20"/>
          <w:szCs w:val="20"/>
        </w:rPr>
        <w:t>Daniel Augusto Jorge El Saieh Sánchez</w:t>
      </w:r>
    </w:p>
    <w:p w14:paraId="61B7429D" w14:textId="77777777" w:rsidR="00440BEB" w:rsidRPr="00D14A30" w:rsidRDefault="00440BEB" w:rsidP="001A372E">
      <w:pPr>
        <w:pStyle w:val="Listavistosa-nfasis11"/>
        <w:rPr>
          <w:rFonts w:cs="Arial"/>
          <w:b/>
          <w:sz w:val="20"/>
          <w:szCs w:val="20"/>
        </w:rPr>
      </w:pPr>
      <w:r w:rsidRPr="00D14A30">
        <w:rPr>
          <w:rFonts w:ascii="Arial" w:hAnsi="Arial" w:cs="Arial"/>
          <w:sz w:val="20"/>
          <w:szCs w:val="20"/>
        </w:rPr>
        <w:t>Jefe Oficina Jurídica U</w:t>
      </w:r>
      <w:r w:rsidR="001A372E" w:rsidRPr="00D14A30">
        <w:rPr>
          <w:rFonts w:ascii="Arial" w:hAnsi="Arial" w:cs="Arial"/>
          <w:sz w:val="20"/>
          <w:szCs w:val="20"/>
        </w:rPr>
        <w:t xml:space="preserve">nidad Nacional de Protección </w:t>
      </w:r>
    </w:p>
    <w:sectPr w:rsidR="00440BEB" w:rsidRPr="00D14A30" w:rsidSect="003755A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616" w:right="1701" w:bottom="1115"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672EA" w14:textId="77777777" w:rsidR="009F593E" w:rsidRDefault="009F593E">
      <w:r>
        <w:separator/>
      </w:r>
    </w:p>
  </w:endnote>
  <w:endnote w:type="continuationSeparator" w:id="0">
    <w:p w14:paraId="73A7273B" w14:textId="77777777" w:rsidR="009F593E" w:rsidRDefault="009F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BBF3D" w14:textId="77777777" w:rsidR="00715DC7" w:rsidRDefault="00715D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5E980" w14:textId="77777777" w:rsidR="00836C6A" w:rsidRDefault="00836C6A">
    <w:pPr>
      <w:pStyle w:val="Piedepgina"/>
      <w:jc w:val="right"/>
    </w:pPr>
    <w:r>
      <w:fldChar w:fldCharType="begin"/>
    </w:r>
    <w:r w:rsidR="00A120D6">
      <w:instrText>PAGE</w:instrText>
    </w:r>
    <w:r>
      <w:instrText xml:space="preserve">   \* MERGEFORMAT</w:instrText>
    </w:r>
    <w:r>
      <w:fldChar w:fldCharType="separate"/>
    </w:r>
    <w:r w:rsidR="00AC7403">
      <w:rPr>
        <w:noProof/>
      </w:rPr>
      <w:t>6</w:t>
    </w:r>
    <w:r>
      <w:fldChar w:fldCharType="end"/>
    </w:r>
  </w:p>
  <w:p w14:paraId="35BBB655" w14:textId="77777777" w:rsidR="00F07A7D" w:rsidRPr="0084294E" w:rsidRDefault="00F07A7D" w:rsidP="00FA4A9E">
    <w:pPr>
      <w:pStyle w:val="Piedepgina"/>
      <w:jc w:val="center"/>
      <w:rPr>
        <w:sz w:val="18"/>
        <w:szCs w:val="18"/>
        <w:lang w:val="es-C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660CB" w14:textId="77777777" w:rsidR="00715DC7" w:rsidRDefault="00715D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C7F7D" w14:textId="77777777" w:rsidR="009F593E" w:rsidRDefault="009F593E">
      <w:r>
        <w:separator/>
      </w:r>
    </w:p>
  </w:footnote>
  <w:footnote w:type="continuationSeparator" w:id="0">
    <w:p w14:paraId="5452EF21" w14:textId="77777777" w:rsidR="009F593E" w:rsidRDefault="009F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1FC8C" w14:textId="77777777" w:rsidR="00715DC7" w:rsidRDefault="00715D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3D269"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545"/>
    </w:tblGrid>
    <w:tr w:rsidR="00696582" w14:paraId="0C3418B9" w14:textId="77777777" w:rsidTr="001447C1">
      <w:tc>
        <w:tcPr>
          <w:tcW w:w="4253" w:type="dxa"/>
          <w:shd w:val="clear" w:color="auto" w:fill="auto"/>
        </w:tcPr>
        <w:p w14:paraId="123BC802" w14:textId="77777777" w:rsidR="00696582" w:rsidRDefault="00611F77" w:rsidP="001447C1">
          <w:pPr>
            <w:pStyle w:val="Encabezado"/>
          </w:pPr>
          <w:r w:rsidRPr="00D965B1">
            <w:rPr>
              <w:noProof/>
            </w:rPr>
            <w:drawing>
              <wp:inline distT="0" distB="0" distL="0" distR="0" wp14:anchorId="0BBE3918" wp14:editId="1BA1064B">
                <wp:extent cx="2562225" cy="538480"/>
                <wp:effectExtent l="0" t="0" r="0" b="0"/>
                <wp:docPr id="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538480"/>
                        </a:xfrm>
                        <a:prstGeom prst="rect">
                          <a:avLst/>
                        </a:prstGeom>
                        <a:noFill/>
                        <a:ln>
                          <a:noFill/>
                        </a:ln>
                      </pic:spPr>
                    </pic:pic>
                  </a:graphicData>
                </a:graphic>
              </wp:inline>
            </w:drawing>
          </w:r>
        </w:p>
      </w:tc>
      <w:tc>
        <w:tcPr>
          <w:tcW w:w="6545" w:type="dxa"/>
          <w:shd w:val="clear" w:color="auto" w:fill="auto"/>
          <w:vAlign w:val="center"/>
        </w:tcPr>
        <w:p w14:paraId="1A74C19B" w14:textId="77777777" w:rsidR="00696582" w:rsidRDefault="00696582" w:rsidP="001447C1">
          <w:pPr>
            <w:pStyle w:val="Ttulo2"/>
            <w:ind w:left="72" w:right="72"/>
          </w:pPr>
          <w:r w:rsidRPr="00FD3D04">
            <w:rPr>
              <w:rFonts w:cs="Arial"/>
              <w:bCs/>
              <w:color w:val="000000"/>
              <w:sz w:val="24"/>
              <w:szCs w:val="24"/>
            </w:rPr>
            <w:t>FORMATO MEMORIA JUSTIFICATIVA</w:t>
          </w:r>
        </w:p>
      </w:tc>
    </w:tr>
  </w:tbl>
  <w:p w14:paraId="45A53AA3" w14:textId="77777777" w:rsidR="00F07A7D" w:rsidRDefault="00F07A7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545"/>
    </w:tblGrid>
    <w:tr w:rsidR="00350767" w14:paraId="1B12A7E1" w14:textId="77777777" w:rsidTr="00FD3D04">
      <w:tc>
        <w:tcPr>
          <w:tcW w:w="4253" w:type="dxa"/>
          <w:shd w:val="clear" w:color="auto" w:fill="auto"/>
        </w:tcPr>
        <w:p w14:paraId="4D138410" w14:textId="77777777" w:rsidR="00350767" w:rsidRDefault="00735950">
          <w:pPr>
            <w:pStyle w:val="Encabezado"/>
          </w:pPr>
          <w:r>
            <w:t>MINISTERIO DEL INTERIOR</w:t>
          </w:r>
        </w:p>
      </w:tc>
      <w:tc>
        <w:tcPr>
          <w:tcW w:w="6545" w:type="dxa"/>
          <w:shd w:val="clear" w:color="auto" w:fill="auto"/>
          <w:vAlign w:val="center"/>
        </w:tcPr>
        <w:p w14:paraId="00BE2EB6" w14:textId="77777777" w:rsidR="00350767" w:rsidRDefault="00350767" w:rsidP="00FD3D04">
          <w:pPr>
            <w:pStyle w:val="Ttulo2"/>
            <w:ind w:left="72" w:right="72"/>
          </w:pPr>
          <w:r w:rsidRPr="00FD3D04">
            <w:rPr>
              <w:rFonts w:cs="Arial"/>
              <w:bCs/>
              <w:color w:val="000000"/>
              <w:sz w:val="24"/>
              <w:szCs w:val="24"/>
            </w:rPr>
            <w:t>FORMATO MEMORIA JUSTIFICATIVA</w:t>
          </w:r>
        </w:p>
      </w:tc>
    </w:tr>
  </w:tbl>
  <w:p w14:paraId="35BF1937" w14:textId="77777777" w:rsidR="00350767" w:rsidRDefault="003507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68B"/>
    <w:multiLevelType w:val="hybridMultilevel"/>
    <w:tmpl w:val="3F1C9C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80"/>
    <w:rsid w:val="00003D24"/>
    <w:rsid w:val="00006F83"/>
    <w:rsid w:val="00007F07"/>
    <w:rsid w:val="00013C42"/>
    <w:rsid w:val="00014D67"/>
    <w:rsid w:val="00016A94"/>
    <w:rsid w:val="00021FCC"/>
    <w:rsid w:val="00024F34"/>
    <w:rsid w:val="0002546A"/>
    <w:rsid w:val="00032CBF"/>
    <w:rsid w:val="0004205E"/>
    <w:rsid w:val="00047A6E"/>
    <w:rsid w:val="00050524"/>
    <w:rsid w:val="00066463"/>
    <w:rsid w:val="0007636F"/>
    <w:rsid w:val="00081CEE"/>
    <w:rsid w:val="00084B49"/>
    <w:rsid w:val="00086B16"/>
    <w:rsid w:val="00087D64"/>
    <w:rsid w:val="00092C0A"/>
    <w:rsid w:val="00094D9F"/>
    <w:rsid w:val="0009760B"/>
    <w:rsid w:val="000A35DA"/>
    <w:rsid w:val="000A3E34"/>
    <w:rsid w:val="000A52D2"/>
    <w:rsid w:val="000B1203"/>
    <w:rsid w:val="000B30A6"/>
    <w:rsid w:val="000B39C5"/>
    <w:rsid w:val="000B50F1"/>
    <w:rsid w:val="000C41BE"/>
    <w:rsid w:val="000C614C"/>
    <w:rsid w:val="000C6C52"/>
    <w:rsid w:val="000D1904"/>
    <w:rsid w:val="000D2DA8"/>
    <w:rsid w:val="000D4A79"/>
    <w:rsid w:val="000D512E"/>
    <w:rsid w:val="000E0152"/>
    <w:rsid w:val="000E370D"/>
    <w:rsid w:val="000E65A4"/>
    <w:rsid w:val="00105533"/>
    <w:rsid w:val="001072FB"/>
    <w:rsid w:val="00107BB4"/>
    <w:rsid w:val="00107F1D"/>
    <w:rsid w:val="00114FAA"/>
    <w:rsid w:val="00116659"/>
    <w:rsid w:val="001175AA"/>
    <w:rsid w:val="001208E7"/>
    <w:rsid w:val="001258B3"/>
    <w:rsid w:val="00125A3A"/>
    <w:rsid w:val="00126916"/>
    <w:rsid w:val="00126980"/>
    <w:rsid w:val="001303DD"/>
    <w:rsid w:val="001348DA"/>
    <w:rsid w:val="001365B5"/>
    <w:rsid w:val="00136CD0"/>
    <w:rsid w:val="0013737F"/>
    <w:rsid w:val="00142BF2"/>
    <w:rsid w:val="001447C1"/>
    <w:rsid w:val="00145077"/>
    <w:rsid w:val="00145BCA"/>
    <w:rsid w:val="0015216F"/>
    <w:rsid w:val="00153523"/>
    <w:rsid w:val="00157729"/>
    <w:rsid w:val="001624B0"/>
    <w:rsid w:val="00164587"/>
    <w:rsid w:val="001665A3"/>
    <w:rsid w:val="001743EF"/>
    <w:rsid w:val="00174A31"/>
    <w:rsid w:val="00176380"/>
    <w:rsid w:val="00177232"/>
    <w:rsid w:val="00187186"/>
    <w:rsid w:val="001978EB"/>
    <w:rsid w:val="001A0B70"/>
    <w:rsid w:val="001A2AF1"/>
    <w:rsid w:val="001A372E"/>
    <w:rsid w:val="001B2A81"/>
    <w:rsid w:val="001B67CF"/>
    <w:rsid w:val="001C013E"/>
    <w:rsid w:val="001C065E"/>
    <w:rsid w:val="001D1743"/>
    <w:rsid w:val="001D17CF"/>
    <w:rsid w:val="001E2543"/>
    <w:rsid w:val="001E638A"/>
    <w:rsid w:val="001E6A71"/>
    <w:rsid w:val="001E6C60"/>
    <w:rsid w:val="001F238A"/>
    <w:rsid w:val="001F7FED"/>
    <w:rsid w:val="001F7FEE"/>
    <w:rsid w:val="002022D7"/>
    <w:rsid w:val="00203685"/>
    <w:rsid w:val="00205C33"/>
    <w:rsid w:val="002171A2"/>
    <w:rsid w:val="002217D1"/>
    <w:rsid w:val="002225C2"/>
    <w:rsid w:val="00224FAB"/>
    <w:rsid w:val="002264B8"/>
    <w:rsid w:val="00227B09"/>
    <w:rsid w:val="00235361"/>
    <w:rsid w:val="00236F62"/>
    <w:rsid w:val="002379DD"/>
    <w:rsid w:val="00237D76"/>
    <w:rsid w:val="00251FCE"/>
    <w:rsid w:val="00252F13"/>
    <w:rsid w:val="00254313"/>
    <w:rsid w:val="0026513E"/>
    <w:rsid w:val="0026778A"/>
    <w:rsid w:val="002729A5"/>
    <w:rsid w:val="002862C1"/>
    <w:rsid w:val="00286449"/>
    <w:rsid w:val="00287EC3"/>
    <w:rsid w:val="00293F29"/>
    <w:rsid w:val="002941D1"/>
    <w:rsid w:val="00294DD1"/>
    <w:rsid w:val="002A2A12"/>
    <w:rsid w:val="002C05D0"/>
    <w:rsid w:val="002C6429"/>
    <w:rsid w:val="002D096D"/>
    <w:rsid w:val="002D11FE"/>
    <w:rsid w:val="002D2CB2"/>
    <w:rsid w:val="002D35EC"/>
    <w:rsid w:val="002D3FE3"/>
    <w:rsid w:val="002D5E8B"/>
    <w:rsid w:val="002E4A97"/>
    <w:rsid w:val="002E71C4"/>
    <w:rsid w:val="002F074B"/>
    <w:rsid w:val="002F226A"/>
    <w:rsid w:val="00301DC2"/>
    <w:rsid w:val="00302AD6"/>
    <w:rsid w:val="003227FD"/>
    <w:rsid w:val="00325A55"/>
    <w:rsid w:val="003343DB"/>
    <w:rsid w:val="00336655"/>
    <w:rsid w:val="00337397"/>
    <w:rsid w:val="00342B3C"/>
    <w:rsid w:val="00346554"/>
    <w:rsid w:val="003503EB"/>
    <w:rsid w:val="00350767"/>
    <w:rsid w:val="00350E4B"/>
    <w:rsid w:val="00351119"/>
    <w:rsid w:val="003533A1"/>
    <w:rsid w:val="003651DE"/>
    <w:rsid w:val="00367CB8"/>
    <w:rsid w:val="003703DD"/>
    <w:rsid w:val="003711C0"/>
    <w:rsid w:val="00371728"/>
    <w:rsid w:val="00371DC6"/>
    <w:rsid w:val="00371E72"/>
    <w:rsid w:val="00373197"/>
    <w:rsid w:val="003755AD"/>
    <w:rsid w:val="0038390A"/>
    <w:rsid w:val="003A0A57"/>
    <w:rsid w:val="003A0BBF"/>
    <w:rsid w:val="003A20C0"/>
    <w:rsid w:val="003A3C08"/>
    <w:rsid w:val="003A6449"/>
    <w:rsid w:val="003A648C"/>
    <w:rsid w:val="003A73D2"/>
    <w:rsid w:val="003A7E93"/>
    <w:rsid w:val="003B2D4D"/>
    <w:rsid w:val="003B3F46"/>
    <w:rsid w:val="003B4DDE"/>
    <w:rsid w:val="003B625C"/>
    <w:rsid w:val="003C0C28"/>
    <w:rsid w:val="003C0F32"/>
    <w:rsid w:val="003C6CAC"/>
    <w:rsid w:val="003D3516"/>
    <w:rsid w:val="003E1394"/>
    <w:rsid w:val="003E582F"/>
    <w:rsid w:val="003E7B0F"/>
    <w:rsid w:val="003F0ECC"/>
    <w:rsid w:val="00401B59"/>
    <w:rsid w:val="00404AFE"/>
    <w:rsid w:val="00405CE5"/>
    <w:rsid w:val="0041604F"/>
    <w:rsid w:val="00427DD9"/>
    <w:rsid w:val="004317DB"/>
    <w:rsid w:val="00432C5C"/>
    <w:rsid w:val="0043432B"/>
    <w:rsid w:val="004376C6"/>
    <w:rsid w:val="00437C19"/>
    <w:rsid w:val="00440824"/>
    <w:rsid w:val="00440BEB"/>
    <w:rsid w:val="0044501A"/>
    <w:rsid w:val="00461D1F"/>
    <w:rsid w:val="00464F58"/>
    <w:rsid w:val="00470148"/>
    <w:rsid w:val="00470526"/>
    <w:rsid w:val="00476015"/>
    <w:rsid w:val="004848A4"/>
    <w:rsid w:val="004A0755"/>
    <w:rsid w:val="004A6BE3"/>
    <w:rsid w:val="004B078F"/>
    <w:rsid w:val="004B2064"/>
    <w:rsid w:val="004B2923"/>
    <w:rsid w:val="004C4371"/>
    <w:rsid w:val="004C7D38"/>
    <w:rsid w:val="004D0D86"/>
    <w:rsid w:val="004D10C6"/>
    <w:rsid w:val="004D2643"/>
    <w:rsid w:val="004D294E"/>
    <w:rsid w:val="004D34F8"/>
    <w:rsid w:val="004D3D03"/>
    <w:rsid w:val="004D4586"/>
    <w:rsid w:val="004D6329"/>
    <w:rsid w:val="004E034B"/>
    <w:rsid w:val="004E17FC"/>
    <w:rsid w:val="004E274E"/>
    <w:rsid w:val="004E3575"/>
    <w:rsid w:val="004E517F"/>
    <w:rsid w:val="004E551F"/>
    <w:rsid w:val="004F778E"/>
    <w:rsid w:val="004F7A38"/>
    <w:rsid w:val="0050148F"/>
    <w:rsid w:val="00502F91"/>
    <w:rsid w:val="00504412"/>
    <w:rsid w:val="00520AAA"/>
    <w:rsid w:val="00520B2A"/>
    <w:rsid w:val="005338E4"/>
    <w:rsid w:val="005420D2"/>
    <w:rsid w:val="0054286C"/>
    <w:rsid w:val="00543E5A"/>
    <w:rsid w:val="00545A32"/>
    <w:rsid w:val="0054645F"/>
    <w:rsid w:val="00552235"/>
    <w:rsid w:val="00557DAD"/>
    <w:rsid w:val="005616ED"/>
    <w:rsid w:val="005629D0"/>
    <w:rsid w:val="00564A4E"/>
    <w:rsid w:val="005815B6"/>
    <w:rsid w:val="00584E85"/>
    <w:rsid w:val="005871DA"/>
    <w:rsid w:val="00587695"/>
    <w:rsid w:val="0059054D"/>
    <w:rsid w:val="0059316B"/>
    <w:rsid w:val="005949A8"/>
    <w:rsid w:val="005A077D"/>
    <w:rsid w:val="005A4320"/>
    <w:rsid w:val="005A498D"/>
    <w:rsid w:val="005C19CA"/>
    <w:rsid w:val="005C4522"/>
    <w:rsid w:val="005D49BF"/>
    <w:rsid w:val="005D6213"/>
    <w:rsid w:val="005F30C3"/>
    <w:rsid w:val="005F6839"/>
    <w:rsid w:val="005F7863"/>
    <w:rsid w:val="0060353B"/>
    <w:rsid w:val="00611F77"/>
    <w:rsid w:val="00617906"/>
    <w:rsid w:val="00620876"/>
    <w:rsid w:val="00624FD0"/>
    <w:rsid w:val="00630C5E"/>
    <w:rsid w:val="006315B4"/>
    <w:rsid w:val="00635AC3"/>
    <w:rsid w:val="00636FFB"/>
    <w:rsid w:val="00643162"/>
    <w:rsid w:val="00654CCF"/>
    <w:rsid w:val="00662027"/>
    <w:rsid w:val="00665F82"/>
    <w:rsid w:val="0067186C"/>
    <w:rsid w:val="00671E11"/>
    <w:rsid w:val="0067443C"/>
    <w:rsid w:val="006779DA"/>
    <w:rsid w:val="00687EB3"/>
    <w:rsid w:val="00692980"/>
    <w:rsid w:val="00693246"/>
    <w:rsid w:val="0069506F"/>
    <w:rsid w:val="00696582"/>
    <w:rsid w:val="006A1DBB"/>
    <w:rsid w:val="006A2AE2"/>
    <w:rsid w:val="006A3412"/>
    <w:rsid w:val="006A3D8A"/>
    <w:rsid w:val="006B4E40"/>
    <w:rsid w:val="006C103A"/>
    <w:rsid w:val="006C3292"/>
    <w:rsid w:val="006C48E2"/>
    <w:rsid w:val="006C4E6A"/>
    <w:rsid w:val="006C50E8"/>
    <w:rsid w:val="006D42F0"/>
    <w:rsid w:val="006D459B"/>
    <w:rsid w:val="006D464D"/>
    <w:rsid w:val="006E5227"/>
    <w:rsid w:val="006E6F11"/>
    <w:rsid w:val="006F0B6B"/>
    <w:rsid w:val="006F144D"/>
    <w:rsid w:val="006F461B"/>
    <w:rsid w:val="006F622C"/>
    <w:rsid w:val="00700FF6"/>
    <w:rsid w:val="00701A0D"/>
    <w:rsid w:val="00704D44"/>
    <w:rsid w:val="007101CA"/>
    <w:rsid w:val="00714462"/>
    <w:rsid w:val="00715A68"/>
    <w:rsid w:val="00715DC7"/>
    <w:rsid w:val="00715DD5"/>
    <w:rsid w:val="00715ECF"/>
    <w:rsid w:val="00717A04"/>
    <w:rsid w:val="00717BFE"/>
    <w:rsid w:val="007208C5"/>
    <w:rsid w:val="00725BB4"/>
    <w:rsid w:val="0073180A"/>
    <w:rsid w:val="00732997"/>
    <w:rsid w:val="007336C3"/>
    <w:rsid w:val="00735033"/>
    <w:rsid w:val="00735950"/>
    <w:rsid w:val="00756485"/>
    <w:rsid w:val="0075705D"/>
    <w:rsid w:val="007621FE"/>
    <w:rsid w:val="007626E1"/>
    <w:rsid w:val="00766A2A"/>
    <w:rsid w:val="00767F65"/>
    <w:rsid w:val="00770D6C"/>
    <w:rsid w:val="007768E5"/>
    <w:rsid w:val="00783515"/>
    <w:rsid w:val="00783E3E"/>
    <w:rsid w:val="00787C94"/>
    <w:rsid w:val="00790ED7"/>
    <w:rsid w:val="00791BCB"/>
    <w:rsid w:val="007921BD"/>
    <w:rsid w:val="007925B9"/>
    <w:rsid w:val="00793A02"/>
    <w:rsid w:val="00794600"/>
    <w:rsid w:val="00795C6B"/>
    <w:rsid w:val="007A1566"/>
    <w:rsid w:val="007A3995"/>
    <w:rsid w:val="007A3DDF"/>
    <w:rsid w:val="007A5AC5"/>
    <w:rsid w:val="007B622D"/>
    <w:rsid w:val="007C4288"/>
    <w:rsid w:val="007C484E"/>
    <w:rsid w:val="007D3AD6"/>
    <w:rsid w:val="007D4853"/>
    <w:rsid w:val="007D57C4"/>
    <w:rsid w:val="007E0429"/>
    <w:rsid w:val="007E41DE"/>
    <w:rsid w:val="007E4CE3"/>
    <w:rsid w:val="007F2B1F"/>
    <w:rsid w:val="007F46AF"/>
    <w:rsid w:val="007F7314"/>
    <w:rsid w:val="00800B34"/>
    <w:rsid w:val="00801F72"/>
    <w:rsid w:val="00802F7A"/>
    <w:rsid w:val="008066E0"/>
    <w:rsid w:val="00806A1C"/>
    <w:rsid w:val="0080773A"/>
    <w:rsid w:val="008173F3"/>
    <w:rsid w:val="0082117C"/>
    <w:rsid w:val="008227E9"/>
    <w:rsid w:val="008252C5"/>
    <w:rsid w:val="00831860"/>
    <w:rsid w:val="00832F2D"/>
    <w:rsid w:val="00836C6A"/>
    <w:rsid w:val="00840BA6"/>
    <w:rsid w:val="00841C9F"/>
    <w:rsid w:val="0084294E"/>
    <w:rsid w:val="00843EFF"/>
    <w:rsid w:val="008442A5"/>
    <w:rsid w:val="008477A9"/>
    <w:rsid w:val="0085416A"/>
    <w:rsid w:val="0085654B"/>
    <w:rsid w:val="00856B0F"/>
    <w:rsid w:val="00860016"/>
    <w:rsid w:val="0087186A"/>
    <w:rsid w:val="00872C56"/>
    <w:rsid w:val="00874F67"/>
    <w:rsid w:val="00876AC2"/>
    <w:rsid w:val="00883F43"/>
    <w:rsid w:val="00884C98"/>
    <w:rsid w:val="00884CE2"/>
    <w:rsid w:val="00885E7D"/>
    <w:rsid w:val="008912EC"/>
    <w:rsid w:val="0089363F"/>
    <w:rsid w:val="008941A3"/>
    <w:rsid w:val="00894D05"/>
    <w:rsid w:val="00896ED8"/>
    <w:rsid w:val="008A209D"/>
    <w:rsid w:val="008A2436"/>
    <w:rsid w:val="008A4E8C"/>
    <w:rsid w:val="008A563D"/>
    <w:rsid w:val="008B2846"/>
    <w:rsid w:val="008B3B0A"/>
    <w:rsid w:val="008C2BA0"/>
    <w:rsid w:val="008C69F2"/>
    <w:rsid w:val="008D07A5"/>
    <w:rsid w:val="008D1D44"/>
    <w:rsid w:val="008D2AC1"/>
    <w:rsid w:val="008D3E6C"/>
    <w:rsid w:val="008E03E1"/>
    <w:rsid w:val="008E04EC"/>
    <w:rsid w:val="008E43F4"/>
    <w:rsid w:val="008E5C38"/>
    <w:rsid w:val="008E6A4A"/>
    <w:rsid w:val="008F42F6"/>
    <w:rsid w:val="008F453D"/>
    <w:rsid w:val="008F5282"/>
    <w:rsid w:val="00910541"/>
    <w:rsid w:val="00912BAC"/>
    <w:rsid w:val="00925058"/>
    <w:rsid w:val="00926CDB"/>
    <w:rsid w:val="00930113"/>
    <w:rsid w:val="009356EC"/>
    <w:rsid w:val="00935A32"/>
    <w:rsid w:val="00937FB2"/>
    <w:rsid w:val="0094114F"/>
    <w:rsid w:val="0095200C"/>
    <w:rsid w:val="00955BF2"/>
    <w:rsid w:val="0095690D"/>
    <w:rsid w:val="009603C9"/>
    <w:rsid w:val="009609C5"/>
    <w:rsid w:val="0096121D"/>
    <w:rsid w:val="00965B1A"/>
    <w:rsid w:val="00966F8C"/>
    <w:rsid w:val="00971B57"/>
    <w:rsid w:val="00976933"/>
    <w:rsid w:val="00981893"/>
    <w:rsid w:val="00984974"/>
    <w:rsid w:val="00986438"/>
    <w:rsid w:val="00987DBF"/>
    <w:rsid w:val="009970F9"/>
    <w:rsid w:val="009A33A5"/>
    <w:rsid w:val="009A515B"/>
    <w:rsid w:val="009A5590"/>
    <w:rsid w:val="009A5E70"/>
    <w:rsid w:val="009B164A"/>
    <w:rsid w:val="009B7D54"/>
    <w:rsid w:val="009C3837"/>
    <w:rsid w:val="009C44BD"/>
    <w:rsid w:val="009C537F"/>
    <w:rsid w:val="009D0585"/>
    <w:rsid w:val="009D2BB3"/>
    <w:rsid w:val="009E0846"/>
    <w:rsid w:val="009E1EF4"/>
    <w:rsid w:val="009E1F32"/>
    <w:rsid w:val="009E4BD5"/>
    <w:rsid w:val="009F15E2"/>
    <w:rsid w:val="009F1BE0"/>
    <w:rsid w:val="009F3642"/>
    <w:rsid w:val="009F593E"/>
    <w:rsid w:val="009F7CED"/>
    <w:rsid w:val="00A04569"/>
    <w:rsid w:val="00A0736A"/>
    <w:rsid w:val="00A07DE7"/>
    <w:rsid w:val="00A120D6"/>
    <w:rsid w:val="00A1301A"/>
    <w:rsid w:val="00A13F0B"/>
    <w:rsid w:val="00A14C37"/>
    <w:rsid w:val="00A161B9"/>
    <w:rsid w:val="00A17059"/>
    <w:rsid w:val="00A219D7"/>
    <w:rsid w:val="00A2785C"/>
    <w:rsid w:val="00A32BEA"/>
    <w:rsid w:val="00A33DCF"/>
    <w:rsid w:val="00A3470B"/>
    <w:rsid w:val="00A377FE"/>
    <w:rsid w:val="00A4128C"/>
    <w:rsid w:val="00A41AEF"/>
    <w:rsid w:val="00A447B3"/>
    <w:rsid w:val="00A500DD"/>
    <w:rsid w:val="00A52C3F"/>
    <w:rsid w:val="00A55DB6"/>
    <w:rsid w:val="00A61784"/>
    <w:rsid w:val="00A64120"/>
    <w:rsid w:val="00A64D25"/>
    <w:rsid w:val="00A66FBF"/>
    <w:rsid w:val="00A72973"/>
    <w:rsid w:val="00A74AFD"/>
    <w:rsid w:val="00A80613"/>
    <w:rsid w:val="00A80A4D"/>
    <w:rsid w:val="00A83A98"/>
    <w:rsid w:val="00A85AEA"/>
    <w:rsid w:val="00A94019"/>
    <w:rsid w:val="00AA28E8"/>
    <w:rsid w:val="00AB0708"/>
    <w:rsid w:val="00AB0753"/>
    <w:rsid w:val="00AB0C45"/>
    <w:rsid w:val="00AB3E7B"/>
    <w:rsid w:val="00AB6652"/>
    <w:rsid w:val="00AC1AF8"/>
    <w:rsid w:val="00AC1EA7"/>
    <w:rsid w:val="00AC3EAB"/>
    <w:rsid w:val="00AC447D"/>
    <w:rsid w:val="00AC6388"/>
    <w:rsid w:val="00AC6A77"/>
    <w:rsid w:val="00AC7403"/>
    <w:rsid w:val="00AC7655"/>
    <w:rsid w:val="00AD1CA5"/>
    <w:rsid w:val="00AD346A"/>
    <w:rsid w:val="00AD5446"/>
    <w:rsid w:val="00AD623F"/>
    <w:rsid w:val="00AD65CE"/>
    <w:rsid w:val="00AE03F3"/>
    <w:rsid w:val="00AE2085"/>
    <w:rsid w:val="00AF5E71"/>
    <w:rsid w:val="00B02EC0"/>
    <w:rsid w:val="00B10DE3"/>
    <w:rsid w:val="00B13AE3"/>
    <w:rsid w:val="00B25550"/>
    <w:rsid w:val="00B30DCD"/>
    <w:rsid w:val="00B34E41"/>
    <w:rsid w:val="00B377D3"/>
    <w:rsid w:val="00B4178F"/>
    <w:rsid w:val="00B42113"/>
    <w:rsid w:val="00B4216E"/>
    <w:rsid w:val="00B448DC"/>
    <w:rsid w:val="00B463AC"/>
    <w:rsid w:val="00B51095"/>
    <w:rsid w:val="00B6123C"/>
    <w:rsid w:val="00B61CA6"/>
    <w:rsid w:val="00B623B7"/>
    <w:rsid w:val="00B65F1B"/>
    <w:rsid w:val="00B66D03"/>
    <w:rsid w:val="00B7000F"/>
    <w:rsid w:val="00B7292A"/>
    <w:rsid w:val="00B729FC"/>
    <w:rsid w:val="00B7368B"/>
    <w:rsid w:val="00B73EC6"/>
    <w:rsid w:val="00B766E4"/>
    <w:rsid w:val="00B8326D"/>
    <w:rsid w:val="00B8405A"/>
    <w:rsid w:val="00B84AF8"/>
    <w:rsid w:val="00B85615"/>
    <w:rsid w:val="00B937B6"/>
    <w:rsid w:val="00BA450F"/>
    <w:rsid w:val="00BA5782"/>
    <w:rsid w:val="00BA6EFD"/>
    <w:rsid w:val="00BB545F"/>
    <w:rsid w:val="00BD4B65"/>
    <w:rsid w:val="00BE280C"/>
    <w:rsid w:val="00BF054E"/>
    <w:rsid w:val="00BF0DB9"/>
    <w:rsid w:val="00BF6E58"/>
    <w:rsid w:val="00BF6EDF"/>
    <w:rsid w:val="00C05250"/>
    <w:rsid w:val="00C12B93"/>
    <w:rsid w:val="00C134C3"/>
    <w:rsid w:val="00C26C14"/>
    <w:rsid w:val="00C27D76"/>
    <w:rsid w:val="00C31D59"/>
    <w:rsid w:val="00C3477D"/>
    <w:rsid w:val="00C36892"/>
    <w:rsid w:val="00C4009A"/>
    <w:rsid w:val="00C401C2"/>
    <w:rsid w:val="00C46330"/>
    <w:rsid w:val="00C47F73"/>
    <w:rsid w:val="00C52E86"/>
    <w:rsid w:val="00C6077B"/>
    <w:rsid w:val="00C61441"/>
    <w:rsid w:val="00C7294E"/>
    <w:rsid w:val="00C84423"/>
    <w:rsid w:val="00C91F90"/>
    <w:rsid w:val="00C96F07"/>
    <w:rsid w:val="00CA57DF"/>
    <w:rsid w:val="00CB0063"/>
    <w:rsid w:val="00CB4D37"/>
    <w:rsid w:val="00CB5452"/>
    <w:rsid w:val="00CB66F7"/>
    <w:rsid w:val="00CC0C62"/>
    <w:rsid w:val="00CC259C"/>
    <w:rsid w:val="00CC42D1"/>
    <w:rsid w:val="00CC5B3E"/>
    <w:rsid w:val="00CE0AF8"/>
    <w:rsid w:val="00CE1A87"/>
    <w:rsid w:val="00CE521F"/>
    <w:rsid w:val="00CF25EF"/>
    <w:rsid w:val="00D04863"/>
    <w:rsid w:val="00D04A96"/>
    <w:rsid w:val="00D05B67"/>
    <w:rsid w:val="00D05D52"/>
    <w:rsid w:val="00D14A30"/>
    <w:rsid w:val="00D1664C"/>
    <w:rsid w:val="00D16C17"/>
    <w:rsid w:val="00D24980"/>
    <w:rsid w:val="00D26D53"/>
    <w:rsid w:val="00D31F43"/>
    <w:rsid w:val="00D40E59"/>
    <w:rsid w:val="00D415E6"/>
    <w:rsid w:val="00D444C5"/>
    <w:rsid w:val="00D530DC"/>
    <w:rsid w:val="00D62023"/>
    <w:rsid w:val="00D7070F"/>
    <w:rsid w:val="00D709DD"/>
    <w:rsid w:val="00D8294A"/>
    <w:rsid w:val="00D83F98"/>
    <w:rsid w:val="00D84A75"/>
    <w:rsid w:val="00D85F90"/>
    <w:rsid w:val="00D90649"/>
    <w:rsid w:val="00D91E89"/>
    <w:rsid w:val="00D9213D"/>
    <w:rsid w:val="00D92FFB"/>
    <w:rsid w:val="00D965B1"/>
    <w:rsid w:val="00D97DF9"/>
    <w:rsid w:val="00DA6359"/>
    <w:rsid w:val="00DA6526"/>
    <w:rsid w:val="00DA6C54"/>
    <w:rsid w:val="00DA7014"/>
    <w:rsid w:val="00DC54A3"/>
    <w:rsid w:val="00DD0593"/>
    <w:rsid w:val="00DD181C"/>
    <w:rsid w:val="00DD2F2C"/>
    <w:rsid w:val="00DD48D9"/>
    <w:rsid w:val="00DE1540"/>
    <w:rsid w:val="00DE520C"/>
    <w:rsid w:val="00DF1E66"/>
    <w:rsid w:val="00DF60FD"/>
    <w:rsid w:val="00DF6410"/>
    <w:rsid w:val="00E007F7"/>
    <w:rsid w:val="00E03B90"/>
    <w:rsid w:val="00E05F18"/>
    <w:rsid w:val="00E06A27"/>
    <w:rsid w:val="00E12202"/>
    <w:rsid w:val="00E15003"/>
    <w:rsid w:val="00E242C5"/>
    <w:rsid w:val="00E24673"/>
    <w:rsid w:val="00E24F26"/>
    <w:rsid w:val="00E261B4"/>
    <w:rsid w:val="00E31E85"/>
    <w:rsid w:val="00E407FF"/>
    <w:rsid w:val="00E40C34"/>
    <w:rsid w:val="00E4142E"/>
    <w:rsid w:val="00E41E2C"/>
    <w:rsid w:val="00E44207"/>
    <w:rsid w:val="00E66C57"/>
    <w:rsid w:val="00E66D00"/>
    <w:rsid w:val="00E7224C"/>
    <w:rsid w:val="00E729F2"/>
    <w:rsid w:val="00E744E8"/>
    <w:rsid w:val="00E75DBD"/>
    <w:rsid w:val="00E805D3"/>
    <w:rsid w:val="00E80826"/>
    <w:rsid w:val="00E80E6C"/>
    <w:rsid w:val="00E83425"/>
    <w:rsid w:val="00E84DA1"/>
    <w:rsid w:val="00E91332"/>
    <w:rsid w:val="00E974DB"/>
    <w:rsid w:val="00EA3045"/>
    <w:rsid w:val="00EA7A56"/>
    <w:rsid w:val="00EB11E9"/>
    <w:rsid w:val="00EC1DE8"/>
    <w:rsid w:val="00EC35AE"/>
    <w:rsid w:val="00ED4708"/>
    <w:rsid w:val="00EE0D69"/>
    <w:rsid w:val="00EE0F26"/>
    <w:rsid w:val="00EE1EE3"/>
    <w:rsid w:val="00EE2ABB"/>
    <w:rsid w:val="00EE375A"/>
    <w:rsid w:val="00EF192B"/>
    <w:rsid w:val="00F06B8A"/>
    <w:rsid w:val="00F07A68"/>
    <w:rsid w:val="00F07A7D"/>
    <w:rsid w:val="00F153C1"/>
    <w:rsid w:val="00F16839"/>
    <w:rsid w:val="00F211E7"/>
    <w:rsid w:val="00F21D37"/>
    <w:rsid w:val="00F221F0"/>
    <w:rsid w:val="00F26136"/>
    <w:rsid w:val="00F2713B"/>
    <w:rsid w:val="00F305D8"/>
    <w:rsid w:val="00F31B27"/>
    <w:rsid w:val="00F37106"/>
    <w:rsid w:val="00F44A2E"/>
    <w:rsid w:val="00F47D57"/>
    <w:rsid w:val="00F55DC4"/>
    <w:rsid w:val="00F576B3"/>
    <w:rsid w:val="00F60C9E"/>
    <w:rsid w:val="00F62236"/>
    <w:rsid w:val="00F745E1"/>
    <w:rsid w:val="00F758C5"/>
    <w:rsid w:val="00F75A79"/>
    <w:rsid w:val="00F7620E"/>
    <w:rsid w:val="00F775AD"/>
    <w:rsid w:val="00F80E07"/>
    <w:rsid w:val="00F83EFA"/>
    <w:rsid w:val="00F90326"/>
    <w:rsid w:val="00F90F86"/>
    <w:rsid w:val="00F92DF0"/>
    <w:rsid w:val="00FA0454"/>
    <w:rsid w:val="00FA4A9E"/>
    <w:rsid w:val="00FA77AD"/>
    <w:rsid w:val="00FB1248"/>
    <w:rsid w:val="00FB217D"/>
    <w:rsid w:val="00FB29CC"/>
    <w:rsid w:val="00FC0522"/>
    <w:rsid w:val="00FC2DE3"/>
    <w:rsid w:val="00FD3D04"/>
    <w:rsid w:val="00FD49A0"/>
    <w:rsid w:val="00FD7C72"/>
    <w:rsid w:val="00FE27DE"/>
    <w:rsid w:val="00FE7A0E"/>
    <w:rsid w:val="00FF5117"/>
    <w:rsid w:val="00FF66C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287B3"/>
  <w15:chartTrackingRefBased/>
  <w15:docId w15:val="{65D0142F-DA92-7044-8DA3-B88FDB07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U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rFonts w:ascii="Arial" w:hAnsi="Arial"/>
      <w:lang w:val="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link w:val="EncabezadoCar"/>
    <w:uiPriority w:val="99"/>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lang w:val="es-CO" w:eastAsia="es-CO"/>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CO" w:eastAsia="es-CO"/>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val="es-CO" w:eastAsia="en-US"/>
    </w:rPr>
  </w:style>
  <w:style w:type="character" w:styleId="Textoennegrita">
    <w:name w:val="Strong"/>
    <w:uiPriority w:val="22"/>
    <w:qFormat/>
    <w:rsid w:val="002D2CB2"/>
    <w:rPr>
      <w:b/>
      <w:bCs/>
    </w:rPr>
  </w:style>
  <w:style w:type="paragraph" w:styleId="Puesto">
    <w:name w:val="Title"/>
    <w:basedOn w:val="Normal"/>
    <w:link w:val="PuestoCar"/>
    <w:qFormat/>
    <w:rsid w:val="00AE03F3"/>
    <w:pPr>
      <w:jc w:val="center"/>
    </w:pPr>
    <w:rPr>
      <w:rFonts w:cs="Arial"/>
      <w:b/>
      <w:bCs/>
      <w:sz w:val="32"/>
      <w:szCs w:val="24"/>
    </w:rPr>
  </w:style>
  <w:style w:type="character" w:customStyle="1" w:styleId="PuestoCar">
    <w:name w:val="Puesto Car"/>
    <w:link w:val="Puest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nhideWhenUsed/>
    <w:rsid w:val="00F80E07"/>
    <w:rPr>
      <w:color w:val="0000FF"/>
      <w:u w:val="single"/>
    </w:rPr>
  </w:style>
  <w:style w:type="table" w:styleId="Tablaconcuadrcula">
    <w:name w:val="Table Grid"/>
    <w:basedOn w:val="Tablanormal"/>
    <w:rsid w:val="00350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9603C9"/>
    <w:pPr>
      <w:autoSpaceDE w:val="0"/>
      <w:autoSpaceDN w:val="0"/>
      <w:ind w:left="708"/>
    </w:pPr>
    <w:rPr>
      <w:rFonts w:ascii="Times New Roman" w:hAnsi="Times New Roman"/>
      <w:lang w:val="es-ES_tradnl" w:eastAsia="es-MX"/>
    </w:rPr>
  </w:style>
  <w:style w:type="character" w:styleId="nfasis">
    <w:name w:val="Emphasis"/>
    <w:uiPriority w:val="20"/>
    <w:qFormat/>
    <w:rsid w:val="00557DAD"/>
    <w:rPr>
      <w:i/>
      <w:iCs/>
    </w:rPr>
  </w:style>
  <w:style w:type="character" w:customStyle="1" w:styleId="spelle">
    <w:name w:val="spelle"/>
    <w:basedOn w:val="Fuentedeprrafopredeter"/>
    <w:rsid w:val="00F07A68"/>
  </w:style>
  <w:style w:type="character" w:customStyle="1" w:styleId="EncabezadoCar">
    <w:name w:val="Encabezado Car"/>
    <w:link w:val="Encabezado"/>
    <w:uiPriority w:val="99"/>
    <w:rsid w:val="00227B09"/>
    <w:rPr>
      <w:rFonts w:ascii="Arial" w:hAnsi="Arial"/>
      <w:lang w:val="es-ES" w:eastAsia="es-ES"/>
    </w:rPr>
  </w:style>
  <w:style w:type="paragraph" w:customStyle="1" w:styleId="wordsection1">
    <w:name w:val="wordsection1"/>
    <w:basedOn w:val="Normal"/>
    <w:uiPriority w:val="99"/>
    <w:rsid w:val="00227B09"/>
    <w:rPr>
      <w:rFonts w:ascii="Calibri" w:eastAsia="Calibri" w:hAnsi="Calibri" w:cs="Calibri"/>
      <w:sz w:val="22"/>
      <w:szCs w:val="22"/>
      <w:lang w:val="es-CO" w:eastAsia="en-US"/>
    </w:rPr>
  </w:style>
  <w:style w:type="character" w:customStyle="1" w:styleId="contentpasted1">
    <w:name w:val="contentpasted1"/>
    <w:basedOn w:val="Fuentedeprrafopredeter"/>
    <w:rsid w:val="00227B09"/>
  </w:style>
  <w:style w:type="character" w:customStyle="1" w:styleId="normaltextrun">
    <w:name w:val="normaltextrun"/>
    <w:basedOn w:val="Fuentedeprrafopredeter"/>
    <w:rsid w:val="00227B09"/>
  </w:style>
  <w:style w:type="character" w:customStyle="1" w:styleId="UnresolvedMention">
    <w:name w:val="Unresolved Mention"/>
    <w:basedOn w:val="Fuentedeprrafopredeter"/>
    <w:uiPriority w:val="99"/>
    <w:semiHidden/>
    <w:unhideWhenUsed/>
    <w:rsid w:val="00A3470B"/>
    <w:rPr>
      <w:color w:val="605E5C"/>
      <w:shd w:val="clear" w:color="auto" w:fill="E1DFDD"/>
    </w:rPr>
  </w:style>
  <w:style w:type="paragraph" w:customStyle="1" w:styleId="titulo-centrado">
    <w:name w:val="titulo-centrado"/>
    <w:basedOn w:val="Normal"/>
    <w:rsid w:val="004B2064"/>
    <w:pPr>
      <w:spacing w:before="100" w:beforeAutospacing="1" w:after="100" w:afterAutospacing="1"/>
    </w:pPr>
    <w:rPr>
      <w:rFonts w:ascii="Times New Roman" w:hAnsi="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759059962">
      <w:bodyDiv w:val="1"/>
      <w:marLeft w:val="0"/>
      <w:marRight w:val="0"/>
      <w:marTop w:val="0"/>
      <w:marBottom w:val="0"/>
      <w:divBdr>
        <w:top w:val="none" w:sz="0" w:space="0" w:color="auto"/>
        <w:left w:val="none" w:sz="0" w:space="0" w:color="auto"/>
        <w:bottom w:val="none" w:sz="0" w:space="0" w:color="auto"/>
        <w:right w:val="none" w:sz="0" w:space="0" w:color="auto"/>
      </w:divBdr>
    </w:div>
    <w:div w:id="905724076">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49836369">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480149801">
      <w:bodyDiv w:val="1"/>
      <w:marLeft w:val="0"/>
      <w:marRight w:val="0"/>
      <w:marTop w:val="0"/>
      <w:marBottom w:val="0"/>
      <w:divBdr>
        <w:top w:val="none" w:sz="0" w:space="0" w:color="auto"/>
        <w:left w:val="none" w:sz="0" w:space="0" w:color="auto"/>
        <w:bottom w:val="none" w:sz="0" w:space="0" w:color="auto"/>
        <w:right w:val="none" w:sz="0" w:space="0" w:color="auto"/>
      </w:divBdr>
    </w:div>
    <w:div w:id="1719934924">
      <w:bodyDiv w:val="1"/>
      <w:marLeft w:val="0"/>
      <w:marRight w:val="0"/>
      <w:marTop w:val="0"/>
      <w:marBottom w:val="0"/>
      <w:divBdr>
        <w:top w:val="none" w:sz="0" w:space="0" w:color="auto"/>
        <w:left w:val="none" w:sz="0" w:space="0" w:color="auto"/>
        <w:bottom w:val="none" w:sz="0" w:space="0" w:color="auto"/>
        <w:right w:val="none" w:sz="0" w:space="0" w:color="auto"/>
      </w:divBdr>
    </w:div>
    <w:div w:id="2027824670">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76835" TargetMode="External"/><Relationship Id="rId13" Type="http://schemas.openxmlformats.org/officeDocument/2006/relationships/hyperlink" Target="http://www.corteconstitucional.gov.co/relatoria/2010/t-339-10.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rteconstitucional.gov.co/relatoria/2010/t-339-10.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teconstitucional.gov.co/relatoria/2010/t-339-10.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retariasenado.gov.co/senado/basedoc/ley_0782_2002.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uncionpublica.gov.co/eva/gestornormativo/norma.php?i=76835"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9B5AA-6BE3-483A-9DFB-098D7771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6449</Words>
  <Characters>35472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41838</CharactersWithSpaces>
  <SharedDoc>false</SharedDoc>
  <HLinks>
    <vt:vector size="24" baseType="variant">
      <vt:variant>
        <vt:i4>7143437</vt:i4>
      </vt:variant>
      <vt:variant>
        <vt:i4>9</vt:i4>
      </vt:variant>
      <vt:variant>
        <vt:i4>0</vt:i4>
      </vt:variant>
      <vt:variant>
        <vt:i4>5</vt:i4>
      </vt:variant>
      <vt:variant>
        <vt:lpwstr>http://www.corteconstitucional.gov.co/relatoria/2010/t-339-10.htm</vt:lpwstr>
      </vt:variant>
      <vt:variant>
        <vt:lpwstr>_ftn34</vt:lpwstr>
      </vt:variant>
      <vt:variant>
        <vt:i4>6946829</vt:i4>
      </vt:variant>
      <vt:variant>
        <vt:i4>6</vt:i4>
      </vt:variant>
      <vt:variant>
        <vt:i4>0</vt:i4>
      </vt:variant>
      <vt:variant>
        <vt:i4>5</vt:i4>
      </vt:variant>
      <vt:variant>
        <vt:lpwstr>http://www.corteconstitucional.gov.co/relatoria/2010/t-339-10.htm</vt:lpwstr>
      </vt:variant>
      <vt:variant>
        <vt:lpwstr>_ftn33</vt:lpwstr>
      </vt:variant>
      <vt:variant>
        <vt:i4>7012365</vt:i4>
      </vt:variant>
      <vt:variant>
        <vt:i4>3</vt:i4>
      </vt:variant>
      <vt:variant>
        <vt:i4>0</vt:i4>
      </vt:variant>
      <vt:variant>
        <vt:i4>5</vt:i4>
      </vt:variant>
      <vt:variant>
        <vt:lpwstr>http://www.corteconstitucional.gov.co/relatoria/2010/t-339-10.htm</vt:lpwstr>
      </vt:variant>
      <vt:variant>
        <vt:lpwstr>_ftn32</vt:lpwstr>
      </vt:variant>
      <vt:variant>
        <vt:i4>917532</vt:i4>
      </vt:variant>
      <vt:variant>
        <vt:i4>0</vt:i4>
      </vt:variant>
      <vt:variant>
        <vt:i4>0</vt:i4>
      </vt:variant>
      <vt:variant>
        <vt:i4>5</vt:i4>
      </vt:variant>
      <vt:variant>
        <vt:lpwstr>http://www.secretariasenado.gov.co/senado/basedoc/ley_0782_2002.html</vt:lpwstr>
      </vt:variant>
      <vt:variant>
        <vt:lpwstr>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Julian Ricardo Palma Rivillas</cp:lastModifiedBy>
  <cp:revision>2</cp:revision>
  <cp:lastPrinted>2023-06-16T02:32:00Z</cp:lastPrinted>
  <dcterms:created xsi:type="dcterms:W3CDTF">2023-10-31T22:43:00Z</dcterms:created>
  <dcterms:modified xsi:type="dcterms:W3CDTF">2023-10-31T22:43:00Z</dcterms:modified>
</cp:coreProperties>
</file>