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3"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8"/>
      </w:tblGrid>
      <w:tr w:rsidR="005C4522" w:rsidRPr="00EB4E4F" w14:paraId="278B57B0" w14:textId="77777777" w:rsidTr="1DC7A7D1">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3D04AD78" w14:textId="77777777" w:rsidR="0026513E" w:rsidRPr="00EB4E4F" w:rsidRDefault="00795C6B" w:rsidP="00EB4E4F">
            <w:pPr>
              <w:pStyle w:val="Ttulo2"/>
              <w:ind w:right="72"/>
              <w:jc w:val="both"/>
              <w:rPr>
                <w:rFonts w:cs="Arial"/>
                <w:bCs/>
                <w:color w:val="FFFFFF"/>
                <w:sz w:val="22"/>
                <w:szCs w:val="22"/>
              </w:rPr>
            </w:pPr>
            <w:r w:rsidRPr="00EB4E4F">
              <w:rPr>
                <w:rFonts w:cs="Arial"/>
                <w:color w:val="FFFFFF"/>
                <w:sz w:val="22"/>
                <w:szCs w:val="22"/>
                <w:lang w:val="es-CO"/>
              </w:rPr>
              <w:t>Entidad</w:t>
            </w:r>
            <w:r w:rsidR="00086B16" w:rsidRPr="00EB4E4F">
              <w:rPr>
                <w:rFonts w:cs="Arial"/>
                <w:color w:val="FFFFFF"/>
                <w:sz w:val="22"/>
                <w:szCs w:val="22"/>
                <w:lang w:val="es-CO"/>
              </w:rPr>
              <w:t xml:space="preserve"> </w:t>
            </w:r>
            <w:r w:rsidRPr="00EB4E4F">
              <w:rPr>
                <w:rFonts w:cs="Arial"/>
                <w:color w:val="FFFFFF"/>
                <w:sz w:val="22"/>
                <w:szCs w:val="22"/>
                <w:lang w:val="es-CO"/>
              </w:rPr>
              <w:t>originadora</w:t>
            </w:r>
            <w:r w:rsidR="00293F29" w:rsidRPr="00EB4E4F">
              <w:rPr>
                <w:rFonts w:cs="Arial"/>
                <w:color w:val="FFFFFF"/>
                <w:sz w:val="22"/>
                <w:szCs w:val="22"/>
                <w:lang w:val="es-CO"/>
              </w:rPr>
              <w:t>:</w:t>
            </w:r>
          </w:p>
        </w:tc>
        <w:tc>
          <w:tcPr>
            <w:tcW w:w="7339" w:type="dxa"/>
            <w:gridSpan w:val="2"/>
            <w:tcBorders>
              <w:top w:val="single" w:sz="4" w:space="0" w:color="auto"/>
              <w:left w:val="single" w:sz="4" w:space="0" w:color="auto"/>
              <w:bottom w:val="single" w:sz="4" w:space="0" w:color="auto"/>
            </w:tcBorders>
            <w:shd w:val="clear" w:color="auto" w:fill="FFFFFF" w:themeFill="background1"/>
            <w:vAlign w:val="center"/>
          </w:tcPr>
          <w:p w14:paraId="7AD58D5E" w14:textId="77777777" w:rsidR="0026513E" w:rsidRPr="00EB4E4F" w:rsidRDefault="005B273A" w:rsidP="00EB4E4F">
            <w:pPr>
              <w:pStyle w:val="Ttulo2"/>
              <w:ind w:left="72" w:right="72"/>
              <w:jc w:val="both"/>
              <w:rPr>
                <w:rFonts w:cs="Arial"/>
                <w:b w:val="0"/>
                <w:i/>
                <w:color w:val="808080"/>
                <w:sz w:val="22"/>
                <w:szCs w:val="22"/>
              </w:rPr>
            </w:pPr>
            <w:r w:rsidRPr="00EB4E4F">
              <w:rPr>
                <w:rFonts w:cs="Arial"/>
                <w:sz w:val="22"/>
                <w:szCs w:val="22"/>
                <w:lang w:val="es-CO"/>
              </w:rPr>
              <w:t xml:space="preserve">MINISTERIO DEL INTERIOR </w:t>
            </w:r>
          </w:p>
        </w:tc>
      </w:tr>
      <w:tr w:rsidR="005C4522" w:rsidRPr="00EB4E4F" w14:paraId="4DE83D16" w14:textId="77777777" w:rsidTr="1DC7A7D1">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3756C8B8" w14:textId="77777777" w:rsidR="00C47F73" w:rsidRPr="00EB4E4F" w:rsidRDefault="0026513E" w:rsidP="00EB4E4F">
            <w:pPr>
              <w:pStyle w:val="Ttulo2"/>
              <w:ind w:right="72"/>
              <w:jc w:val="both"/>
              <w:rPr>
                <w:rFonts w:cs="Arial"/>
                <w:bCs/>
                <w:color w:val="FFFFFF"/>
                <w:sz w:val="22"/>
                <w:szCs w:val="22"/>
              </w:rPr>
            </w:pPr>
            <w:r w:rsidRPr="00EB4E4F">
              <w:rPr>
                <w:rFonts w:cs="Arial"/>
                <w:bCs/>
                <w:color w:val="FFFFFF"/>
                <w:sz w:val="22"/>
                <w:szCs w:val="22"/>
              </w:rPr>
              <w:t>Fecha</w:t>
            </w:r>
            <w:r w:rsidR="00BB545F" w:rsidRPr="00EB4E4F">
              <w:rPr>
                <w:rFonts w:cs="Arial"/>
                <w:bCs/>
                <w:color w:val="FFFFFF"/>
                <w:sz w:val="22"/>
                <w:szCs w:val="22"/>
              </w:rPr>
              <w:t xml:space="preserve"> (</w:t>
            </w:r>
            <w:proofErr w:type="spellStart"/>
            <w:r w:rsidR="00BB545F" w:rsidRPr="00EB4E4F">
              <w:rPr>
                <w:rFonts w:cs="Arial"/>
                <w:bCs/>
                <w:color w:val="FFFFFF"/>
                <w:sz w:val="22"/>
                <w:szCs w:val="22"/>
              </w:rPr>
              <w:t>dd</w:t>
            </w:r>
            <w:proofErr w:type="spellEnd"/>
            <w:r w:rsidR="00BB545F" w:rsidRPr="00EB4E4F">
              <w:rPr>
                <w:rFonts w:cs="Arial"/>
                <w:bCs/>
                <w:color w:val="FFFFFF"/>
                <w:sz w:val="22"/>
                <w:szCs w:val="22"/>
              </w:rPr>
              <w:t>/mm/</w:t>
            </w:r>
            <w:proofErr w:type="spellStart"/>
            <w:r w:rsidR="00BB545F" w:rsidRPr="00EB4E4F">
              <w:rPr>
                <w:rFonts w:cs="Arial"/>
                <w:bCs/>
                <w:color w:val="FFFFFF"/>
                <w:sz w:val="22"/>
                <w:szCs w:val="22"/>
              </w:rPr>
              <w:t>aa</w:t>
            </w:r>
            <w:proofErr w:type="spellEnd"/>
            <w:r w:rsidR="00BB545F" w:rsidRPr="00EB4E4F">
              <w:rPr>
                <w:rFonts w:cs="Arial"/>
                <w:bCs/>
                <w:color w:val="FFFFFF"/>
                <w:sz w:val="22"/>
                <w:szCs w:val="22"/>
              </w:rPr>
              <w:t>)</w:t>
            </w:r>
            <w:r w:rsidR="00293F29" w:rsidRPr="00EB4E4F">
              <w:rPr>
                <w:rFonts w:cs="Arial"/>
                <w:bCs/>
                <w:color w:val="FFFFFF"/>
                <w:sz w:val="22"/>
                <w:szCs w:val="22"/>
              </w:rPr>
              <w:t>:</w:t>
            </w:r>
          </w:p>
        </w:tc>
        <w:tc>
          <w:tcPr>
            <w:tcW w:w="7339" w:type="dxa"/>
            <w:gridSpan w:val="2"/>
            <w:tcBorders>
              <w:top w:val="single" w:sz="4" w:space="0" w:color="auto"/>
              <w:left w:val="single" w:sz="4" w:space="0" w:color="auto"/>
              <w:bottom w:val="single" w:sz="4" w:space="0" w:color="auto"/>
            </w:tcBorders>
            <w:shd w:val="clear" w:color="auto" w:fill="FFFFFF" w:themeFill="background1"/>
            <w:vAlign w:val="center"/>
          </w:tcPr>
          <w:p w14:paraId="462E49F2" w14:textId="7A0D4820" w:rsidR="00C47F73" w:rsidRPr="00EB4E4F" w:rsidRDefault="00795C6B" w:rsidP="00EB4E4F">
            <w:pPr>
              <w:pStyle w:val="Ttulo2"/>
              <w:ind w:left="72" w:right="72"/>
              <w:jc w:val="both"/>
              <w:rPr>
                <w:rFonts w:cs="Arial"/>
                <w:b w:val="0"/>
                <w:sz w:val="22"/>
                <w:szCs w:val="22"/>
              </w:rPr>
            </w:pPr>
            <w:r w:rsidRPr="00EB4E4F">
              <w:rPr>
                <w:rFonts w:cs="Arial"/>
                <w:b w:val="0"/>
                <w:i/>
                <w:color w:val="808080"/>
                <w:sz w:val="22"/>
                <w:szCs w:val="22"/>
              </w:rPr>
              <w:t>Indique la fecha en que se presenta a Secretaría Jurídica de Presidencia</w:t>
            </w:r>
            <w:r w:rsidR="00871755" w:rsidRPr="00EB4E4F">
              <w:rPr>
                <w:rFonts w:cs="Arial"/>
                <w:b w:val="0"/>
                <w:i/>
                <w:color w:val="808080"/>
                <w:sz w:val="22"/>
                <w:szCs w:val="22"/>
              </w:rPr>
              <w:t xml:space="preserve">. </w:t>
            </w:r>
            <w:r w:rsidR="002C00A3" w:rsidRPr="00D67FF7">
              <w:rPr>
                <w:rFonts w:cs="Arial"/>
                <w:b w:val="0"/>
                <w:i/>
                <w:color w:val="808080"/>
                <w:sz w:val="22"/>
                <w:szCs w:val="22"/>
              </w:rPr>
              <w:t>28</w:t>
            </w:r>
            <w:r w:rsidR="002B1CC1" w:rsidRPr="00D67FF7">
              <w:rPr>
                <w:rFonts w:cs="Arial"/>
                <w:b w:val="0"/>
                <w:i/>
                <w:color w:val="808080"/>
                <w:sz w:val="22"/>
                <w:szCs w:val="22"/>
              </w:rPr>
              <w:t>/0</w:t>
            </w:r>
            <w:r w:rsidR="0019349B" w:rsidRPr="00D67FF7">
              <w:rPr>
                <w:rFonts w:cs="Arial"/>
                <w:b w:val="0"/>
                <w:i/>
                <w:color w:val="808080"/>
                <w:sz w:val="22"/>
                <w:szCs w:val="22"/>
              </w:rPr>
              <w:t>6</w:t>
            </w:r>
            <w:r w:rsidR="002B1CC1" w:rsidRPr="00D67FF7">
              <w:rPr>
                <w:rFonts w:cs="Arial"/>
                <w:b w:val="0"/>
                <w:i/>
                <w:color w:val="808080"/>
                <w:sz w:val="22"/>
                <w:szCs w:val="22"/>
              </w:rPr>
              <w:t>/2024</w:t>
            </w:r>
          </w:p>
        </w:tc>
      </w:tr>
      <w:tr w:rsidR="005C4522" w:rsidRPr="00EB4E4F" w14:paraId="1481CE3B" w14:textId="77777777" w:rsidTr="1DC7A7D1">
        <w:trPr>
          <w:trHeight w:val="97"/>
        </w:trPr>
        <w:tc>
          <w:tcPr>
            <w:tcW w:w="3434" w:type="dxa"/>
            <w:tcBorders>
              <w:top w:val="single" w:sz="4" w:space="0" w:color="auto"/>
              <w:bottom w:val="single" w:sz="4" w:space="0" w:color="auto"/>
              <w:right w:val="single" w:sz="4" w:space="0" w:color="auto"/>
            </w:tcBorders>
            <w:shd w:val="clear" w:color="auto" w:fill="5B8AFF"/>
            <w:vAlign w:val="center"/>
          </w:tcPr>
          <w:p w14:paraId="70453613" w14:textId="77777777" w:rsidR="0059316B" w:rsidRPr="00EB4E4F" w:rsidRDefault="00A55DB6" w:rsidP="00EB4E4F">
            <w:pPr>
              <w:pStyle w:val="Ttulo2"/>
              <w:ind w:right="72"/>
              <w:jc w:val="both"/>
              <w:rPr>
                <w:rFonts w:cs="Arial"/>
                <w:bCs/>
                <w:color w:val="FFFFFF"/>
                <w:sz w:val="22"/>
                <w:szCs w:val="22"/>
              </w:rPr>
            </w:pPr>
            <w:r w:rsidRPr="00EB4E4F">
              <w:rPr>
                <w:rFonts w:cs="Arial"/>
                <w:bCs/>
                <w:color w:val="FFFFFF"/>
                <w:sz w:val="22"/>
                <w:szCs w:val="22"/>
              </w:rPr>
              <w:t xml:space="preserve">Proyecto de </w:t>
            </w:r>
            <w:r w:rsidR="00587695" w:rsidRPr="00EB4E4F">
              <w:rPr>
                <w:rFonts w:cs="Arial"/>
                <w:bCs/>
                <w:color w:val="FFFFFF"/>
                <w:sz w:val="22"/>
                <w:szCs w:val="22"/>
              </w:rPr>
              <w:t>D</w:t>
            </w:r>
            <w:r w:rsidRPr="00EB4E4F">
              <w:rPr>
                <w:rFonts w:cs="Arial"/>
                <w:bCs/>
                <w:color w:val="FFFFFF"/>
                <w:sz w:val="22"/>
                <w:szCs w:val="22"/>
              </w:rPr>
              <w:t>ecreto</w:t>
            </w:r>
            <w:r w:rsidR="00795C6B" w:rsidRPr="00EB4E4F">
              <w:rPr>
                <w:rFonts w:cs="Arial"/>
                <w:bCs/>
                <w:color w:val="FFFFFF"/>
                <w:sz w:val="22"/>
                <w:szCs w:val="22"/>
              </w:rPr>
              <w:t>/Resolución</w:t>
            </w:r>
            <w:r w:rsidR="00293F29" w:rsidRPr="00EB4E4F">
              <w:rPr>
                <w:rFonts w:cs="Arial"/>
                <w:bCs/>
                <w:color w:val="FFFFFF"/>
                <w:sz w:val="22"/>
                <w:szCs w:val="22"/>
              </w:rPr>
              <w:t>:</w:t>
            </w:r>
          </w:p>
        </w:tc>
        <w:tc>
          <w:tcPr>
            <w:tcW w:w="7339" w:type="dxa"/>
            <w:gridSpan w:val="2"/>
            <w:tcBorders>
              <w:top w:val="single" w:sz="4" w:space="0" w:color="auto"/>
              <w:left w:val="single" w:sz="4" w:space="0" w:color="auto"/>
              <w:bottom w:val="single" w:sz="4" w:space="0" w:color="auto"/>
            </w:tcBorders>
            <w:shd w:val="clear" w:color="auto" w:fill="FFFFFF" w:themeFill="background1"/>
            <w:vAlign w:val="center"/>
          </w:tcPr>
          <w:p w14:paraId="672A6659" w14:textId="615E5439" w:rsidR="001F238A" w:rsidRPr="00EB4E4F" w:rsidRDefault="002C00A3" w:rsidP="00EB4E4F">
            <w:pPr>
              <w:pStyle w:val="Ttulo2"/>
              <w:ind w:right="72"/>
              <w:jc w:val="both"/>
              <w:rPr>
                <w:rFonts w:cs="Arial"/>
                <w:spacing w:val="-3"/>
                <w:sz w:val="22"/>
                <w:szCs w:val="22"/>
                <w:highlight w:val="yellow"/>
              </w:rPr>
            </w:pPr>
            <w:r>
              <w:rPr>
                <w:rStyle w:val="normaltextrun"/>
                <w:rFonts w:cs="Arial"/>
                <w:color w:val="000000"/>
                <w:shd w:val="clear" w:color="auto" w:fill="FFFFFF"/>
              </w:rPr>
              <w:t>Por el cual se adopta la política pública de gestión y administración de los cementerios para el manejo adecuado de cuerpos no identificados y cuerpos identificados no entregados</w:t>
            </w:r>
          </w:p>
        </w:tc>
      </w:tr>
      <w:tr w:rsidR="00DF60FD" w:rsidRPr="00EB4E4F" w14:paraId="1A9D8FC5" w14:textId="77777777" w:rsidTr="1DC7A7D1">
        <w:trPr>
          <w:trHeight w:val="674"/>
        </w:trPr>
        <w:tc>
          <w:tcPr>
            <w:tcW w:w="10773" w:type="dxa"/>
            <w:gridSpan w:val="3"/>
            <w:tcBorders>
              <w:top w:val="single" w:sz="4" w:space="0" w:color="auto"/>
            </w:tcBorders>
            <w:shd w:val="clear" w:color="auto" w:fill="FFFFFF" w:themeFill="background1"/>
            <w:vAlign w:val="center"/>
          </w:tcPr>
          <w:p w14:paraId="0A37501D" w14:textId="77777777" w:rsidR="006315B4" w:rsidRPr="00EB4E4F" w:rsidRDefault="006315B4" w:rsidP="00EB4E4F">
            <w:pPr>
              <w:autoSpaceDE w:val="0"/>
              <w:autoSpaceDN w:val="0"/>
              <w:adjustRightInd w:val="0"/>
              <w:jc w:val="both"/>
              <w:rPr>
                <w:rFonts w:eastAsia="Calibri" w:cs="Arial"/>
                <w:sz w:val="22"/>
                <w:szCs w:val="22"/>
                <w:lang w:val="es-CO" w:eastAsia="en-US"/>
              </w:rPr>
            </w:pPr>
          </w:p>
          <w:p w14:paraId="69EC224E" w14:textId="77777777" w:rsidR="005D06D3" w:rsidRPr="00EB4E4F" w:rsidRDefault="0095690D" w:rsidP="00EB4E4F">
            <w:pPr>
              <w:numPr>
                <w:ilvl w:val="0"/>
                <w:numId w:val="27"/>
              </w:numPr>
              <w:ind w:right="355"/>
              <w:jc w:val="both"/>
              <w:rPr>
                <w:rFonts w:cs="Arial"/>
                <w:b/>
                <w:color w:val="000000"/>
                <w:sz w:val="22"/>
                <w:szCs w:val="22"/>
                <w:lang w:val="es-CO"/>
              </w:rPr>
            </w:pPr>
            <w:r w:rsidRPr="00EB4E4F">
              <w:rPr>
                <w:rFonts w:cs="Arial"/>
                <w:b/>
                <w:color w:val="000000"/>
                <w:sz w:val="22"/>
                <w:szCs w:val="22"/>
                <w:lang w:val="es-CO"/>
              </w:rPr>
              <w:t>ANTECEDENTES Y RAZONES DE OPORTUNIDAD Y CONVENIENCIA QUE JUSTIFICAN SU EXPEDICIÓN.</w:t>
            </w:r>
          </w:p>
          <w:p w14:paraId="5DAB6C7B" w14:textId="77777777" w:rsidR="005E4141" w:rsidRPr="00EB4E4F" w:rsidRDefault="005E4141" w:rsidP="00EB4E4F">
            <w:pPr>
              <w:ind w:left="720" w:right="355"/>
              <w:jc w:val="both"/>
              <w:rPr>
                <w:rFonts w:cs="Arial"/>
                <w:b/>
                <w:color w:val="000000"/>
                <w:sz w:val="22"/>
                <w:szCs w:val="22"/>
                <w:lang w:val="es-CO"/>
              </w:rPr>
            </w:pPr>
          </w:p>
          <w:p w14:paraId="293807D4" w14:textId="33E6CEFD" w:rsidR="009D27E9" w:rsidRPr="00EB4E4F" w:rsidRDefault="54195DB9" w:rsidP="00EB4E4F">
            <w:pPr>
              <w:pStyle w:val="Prrafodelista"/>
              <w:spacing w:line="240" w:lineRule="auto"/>
              <w:ind w:left="360"/>
              <w:jc w:val="both"/>
              <w:rPr>
                <w:rFonts w:ascii="Arial" w:hAnsi="Arial" w:cs="Arial"/>
              </w:rPr>
            </w:pPr>
            <w:r w:rsidRPr="00EB4E4F">
              <w:rPr>
                <w:rFonts w:ascii="Arial" w:hAnsi="Arial" w:cs="Arial"/>
              </w:rPr>
              <w:t>Durante la historia de Colombia, m</w:t>
            </w:r>
            <w:r w:rsidR="7F561394" w:rsidRPr="00EB4E4F">
              <w:rPr>
                <w:rFonts w:ascii="Arial" w:hAnsi="Arial" w:cs="Arial"/>
              </w:rPr>
              <w:t>últiples cuerpos de personas</w:t>
            </w:r>
            <w:r w:rsidR="2DF317FA" w:rsidRPr="00EB4E4F">
              <w:rPr>
                <w:rFonts w:ascii="Arial" w:hAnsi="Arial" w:cs="Arial"/>
              </w:rPr>
              <w:t xml:space="preserve"> </w:t>
            </w:r>
            <w:r w:rsidR="7F561394" w:rsidRPr="00EB4E4F">
              <w:rPr>
                <w:rFonts w:ascii="Arial" w:hAnsi="Arial" w:cs="Arial"/>
              </w:rPr>
              <w:t>fueron llevados a cementerios del país</w:t>
            </w:r>
            <w:r w:rsidR="6E1C97FF" w:rsidRPr="00EB4E4F">
              <w:rPr>
                <w:rFonts w:ascii="Arial" w:hAnsi="Arial" w:cs="Arial"/>
              </w:rPr>
              <w:t xml:space="preserve"> sin una adecuada trazabilidad y manejo</w:t>
            </w:r>
            <w:r w:rsidR="7F561394" w:rsidRPr="00EB4E4F">
              <w:rPr>
                <w:rFonts w:ascii="Arial" w:hAnsi="Arial" w:cs="Arial"/>
              </w:rPr>
              <w:t xml:space="preserve">. El contexto de violencia, la precariedad de sistemas informáticos, la falta de articulación interinstitucional y la inexperiencia de los actores involucrados en el manejo de estos cuerpos, entre muchas otras razones, condujeron a que gran número de los cementerios del país se encuentren en un estado crítico albergando decenas de cuerpos de Personas No Identificadas (PNI) y Personas Identificadas No Reclamadas (PNIR) en condiciones poco idóneas para las labores de identificación y búsqueda y, en consecuencia, obstaculizando la satisfacción de los derechos de las víctimas. </w:t>
            </w:r>
          </w:p>
          <w:p w14:paraId="5DDD812F" w14:textId="132E89DD" w:rsidR="00853E5A" w:rsidRPr="00EB4E4F" w:rsidRDefault="00853E5A" w:rsidP="00EB4E4F">
            <w:pPr>
              <w:pStyle w:val="Prrafodelista"/>
              <w:spacing w:line="240" w:lineRule="auto"/>
              <w:ind w:left="360"/>
              <w:jc w:val="both"/>
              <w:rPr>
                <w:rFonts w:ascii="Arial" w:hAnsi="Arial" w:cs="Arial"/>
              </w:rPr>
            </w:pPr>
          </w:p>
          <w:p w14:paraId="7C6498B3" w14:textId="77777777" w:rsidR="005E4141" w:rsidRPr="00EB4E4F" w:rsidRDefault="7F561394" w:rsidP="00EB4E4F">
            <w:pPr>
              <w:pStyle w:val="Prrafodelista"/>
              <w:spacing w:line="240" w:lineRule="auto"/>
              <w:ind w:left="360"/>
              <w:jc w:val="both"/>
              <w:rPr>
                <w:rFonts w:ascii="Arial" w:hAnsi="Arial" w:cs="Arial"/>
              </w:rPr>
            </w:pPr>
            <w:r w:rsidRPr="00EB4E4F">
              <w:rPr>
                <w:rFonts w:ascii="Arial" w:hAnsi="Arial" w:cs="Arial"/>
              </w:rPr>
              <w:t xml:space="preserve">Tal situación ha venido siendo denunciada por víctimas, organizaciones de víctimas y defensoras de derechos humanos quienes han promovido acciones judiciales y de incidencia sobre la temática. Debido a ello, la Jurisdicción Especial para la Paz (JEP) ha dispuesto ordenar diferentes medidas cautelares a múltiples cementerios del país protegiendo estos cuerpos y ordenando, asimismo, la intervención de los cementerios. Particularmente dentro de las medidas cautelares para el cementerio San Martín “De Los Pobres” en el municipio de Aguachica, César (Auto MC. 049 de 2020) se requirió al Ministerio del Interior: </w:t>
            </w:r>
          </w:p>
          <w:p w14:paraId="7584628F" w14:textId="5FAD6D4D" w:rsidR="00853E5A" w:rsidRPr="00EB4E4F" w:rsidRDefault="00853E5A" w:rsidP="00EB4E4F">
            <w:pPr>
              <w:pStyle w:val="Prrafodelista"/>
              <w:spacing w:line="240" w:lineRule="auto"/>
              <w:ind w:left="360"/>
              <w:jc w:val="both"/>
              <w:rPr>
                <w:rFonts w:ascii="Arial" w:hAnsi="Arial" w:cs="Arial"/>
              </w:rPr>
            </w:pPr>
          </w:p>
          <w:p w14:paraId="2D9D636D" w14:textId="77777777" w:rsidR="0023072F" w:rsidRPr="00EB4E4F" w:rsidRDefault="7F561394" w:rsidP="00EB4E4F">
            <w:pPr>
              <w:pStyle w:val="Prrafodelista"/>
              <w:spacing w:before="240" w:line="240" w:lineRule="auto"/>
              <w:ind w:left="708"/>
              <w:jc w:val="both"/>
              <w:rPr>
                <w:rFonts w:ascii="Arial" w:hAnsi="Arial" w:cs="Arial"/>
              </w:rPr>
            </w:pPr>
            <w:r w:rsidRPr="00EB4E4F">
              <w:rPr>
                <w:rFonts w:ascii="Arial" w:hAnsi="Arial" w:cs="Arial"/>
              </w:rPr>
              <w:t>“SEGUNDO. - ORDENAR al Ministerio del Interior que conforme una mesa interinstitucional, con la UBPD, el Ministerio de Hacienda, el DNP, el Ministerio de Salud, el Ministerio de Justicia, el Ministerio de Defensa, la FGN, el INML y la UIA, para la formulación de la política pública de intervención de cementerios, que contemple un plan de acción integral para el abordaje de cuerpos de personas no identificadas en los cementerios objeto de esta medida cautelar. El Ministerio del Interior deberá presentar a la SAR esta política pública en un término de 90 días.”</w:t>
            </w:r>
          </w:p>
          <w:p w14:paraId="7502298C" w14:textId="0DE3F5BF" w:rsidR="00853E5A" w:rsidRPr="00EB4E4F" w:rsidRDefault="00853E5A" w:rsidP="00EB4E4F">
            <w:pPr>
              <w:ind w:left="708"/>
              <w:jc w:val="both"/>
              <w:rPr>
                <w:rFonts w:cs="Arial"/>
                <w:sz w:val="22"/>
                <w:szCs w:val="22"/>
              </w:rPr>
            </w:pPr>
          </w:p>
          <w:p w14:paraId="70124C5D" w14:textId="5F5F0400" w:rsidR="55C9D3D4" w:rsidRPr="00EB4E4F" w:rsidRDefault="55C9D3D4" w:rsidP="00EB4E4F">
            <w:pPr>
              <w:pStyle w:val="Prrafodelista"/>
              <w:spacing w:line="240" w:lineRule="auto"/>
              <w:ind w:left="360"/>
              <w:jc w:val="both"/>
              <w:rPr>
                <w:rFonts w:ascii="Arial" w:hAnsi="Arial" w:cs="Arial"/>
              </w:rPr>
            </w:pPr>
            <w:r w:rsidRPr="00EB4E4F">
              <w:rPr>
                <w:rFonts w:ascii="Arial" w:hAnsi="Arial" w:cs="Arial"/>
              </w:rPr>
              <w:t xml:space="preserve">Posteriormente, mediante Auto TP-SA 1654 de 2024 de mayo de 2024, se dispuso: </w:t>
            </w:r>
          </w:p>
          <w:p w14:paraId="2428B792" w14:textId="5E954B45" w:rsidR="00853E5A" w:rsidRPr="00EB4E4F" w:rsidRDefault="00853E5A" w:rsidP="00EB4E4F">
            <w:pPr>
              <w:pStyle w:val="Prrafodelista"/>
              <w:spacing w:line="240" w:lineRule="auto"/>
              <w:ind w:left="360"/>
              <w:jc w:val="both"/>
              <w:rPr>
                <w:rFonts w:ascii="Arial" w:hAnsi="Arial" w:cs="Arial"/>
              </w:rPr>
            </w:pPr>
          </w:p>
          <w:p w14:paraId="2F250911" w14:textId="77777777" w:rsidR="0023072F" w:rsidRPr="00EB4E4F" w:rsidRDefault="55C9D3D4" w:rsidP="00EB4E4F">
            <w:pPr>
              <w:pStyle w:val="Prrafodelista"/>
              <w:spacing w:line="240" w:lineRule="auto"/>
              <w:ind w:left="708"/>
              <w:jc w:val="both"/>
              <w:rPr>
                <w:rFonts w:ascii="Arial" w:hAnsi="Arial" w:cs="Arial"/>
              </w:rPr>
            </w:pPr>
            <w:r w:rsidRPr="1DC7A7D1">
              <w:rPr>
                <w:rFonts w:ascii="Arial" w:hAnsi="Arial" w:cs="Arial"/>
              </w:rPr>
              <w:t>“SEGUNDO: MODULAR el ordinal tercero resolutivo del Auto AT 484 de 1° de diciembre de 2023, en el sentido de precisar que, conforme al cronograma presentado por el Ministerio del Interior, el plazo máximo para la entrega del documento final contentivo de la política pública de intervención de cementerios es el 30 de junio de 2024, de acuerdo con lo expuesto en los párrafos 23 a 23.3 de esta decisión.”</w:t>
            </w:r>
          </w:p>
          <w:p w14:paraId="27631554" w14:textId="77777777" w:rsidR="0023072F" w:rsidRPr="00EB4E4F" w:rsidRDefault="55C9D3D4" w:rsidP="00EB4E4F">
            <w:pPr>
              <w:pStyle w:val="Prrafodelista"/>
              <w:spacing w:line="240" w:lineRule="auto"/>
              <w:ind w:left="708"/>
              <w:jc w:val="both"/>
              <w:rPr>
                <w:rFonts w:ascii="Arial" w:hAnsi="Arial" w:cs="Arial"/>
              </w:rPr>
            </w:pPr>
            <w:r w:rsidRPr="00EB4E4F">
              <w:rPr>
                <w:rFonts w:ascii="Arial" w:hAnsi="Arial" w:cs="Arial"/>
              </w:rPr>
              <w:t>(…)</w:t>
            </w:r>
          </w:p>
          <w:p w14:paraId="4E2B7164" w14:textId="77777777" w:rsidR="0023072F" w:rsidRPr="00EB4E4F" w:rsidRDefault="55C9D3D4" w:rsidP="00EB4E4F">
            <w:pPr>
              <w:pStyle w:val="Prrafodelista"/>
              <w:spacing w:line="240" w:lineRule="auto"/>
              <w:ind w:left="708"/>
              <w:jc w:val="both"/>
              <w:rPr>
                <w:rFonts w:ascii="Arial" w:hAnsi="Arial" w:cs="Arial"/>
              </w:rPr>
            </w:pPr>
            <w:r w:rsidRPr="1DC7A7D1">
              <w:rPr>
                <w:rFonts w:ascii="Arial" w:hAnsi="Arial" w:cs="Arial"/>
              </w:rPr>
              <w:t xml:space="preserve">“23.2. Es de señalar que los términos de la orden fueron claros al indicar que la formulación de la política pública quedó en manos del Ministerio del Interior, por lo que éste no puede excusarse en que es una responsabilidad de la mesa interinstitucional. Si bien no puede desconocerse la relevancia de la participación de esta última y la necesidad de que no sea una convidada de piedra en la formulación de la política, su intervención no puede llevar a que se alargue indefinidamente el cumplimiento de la </w:t>
            </w:r>
            <w:r w:rsidRPr="1DC7A7D1">
              <w:rPr>
                <w:rFonts w:ascii="Arial" w:hAnsi="Arial" w:cs="Arial"/>
              </w:rPr>
              <w:lastRenderedPageBreak/>
              <w:t>orden. Así, aunque en el cronograma fijado se haya señalado que podría haber modificaciones, el Ministerio debe ceñirse a lo allí señalado y entregar la política a finales de junio.”</w:t>
            </w:r>
          </w:p>
          <w:p w14:paraId="6D45179D" w14:textId="4DE04BB7" w:rsidR="00853E5A" w:rsidRPr="00EB4E4F" w:rsidRDefault="00853E5A" w:rsidP="00EB4E4F">
            <w:pPr>
              <w:pStyle w:val="Prrafodelista"/>
              <w:spacing w:line="240" w:lineRule="auto"/>
              <w:ind w:left="708"/>
              <w:jc w:val="both"/>
              <w:rPr>
                <w:rFonts w:ascii="Arial" w:hAnsi="Arial" w:cs="Arial"/>
              </w:rPr>
            </w:pPr>
          </w:p>
          <w:p w14:paraId="719D6E83" w14:textId="77777777" w:rsidR="00B61A32" w:rsidRPr="00EB4E4F" w:rsidRDefault="0B51E878" w:rsidP="00EB4E4F">
            <w:pPr>
              <w:pStyle w:val="Prrafodelista"/>
              <w:spacing w:line="240" w:lineRule="auto"/>
              <w:ind w:left="360"/>
              <w:jc w:val="both"/>
              <w:rPr>
                <w:rFonts w:ascii="Arial" w:hAnsi="Arial" w:cs="Arial"/>
              </w:rPr>
            </w:pPr>
            <w:r w:rsidRPr="00EB4E4F">
              <w:rPr>
                <w:rFonts w:ascii="Arial" w:hAnsi="Arial" w:cs="Arial"/>
              </w:rPr>
              <w:t xml:space="preserve">Con base en las competencias asignadas por ley mediante el Decreto 2893 de 2011, el Ministerio del Interior sirve de enlace y coordinador de las entidades del orden nacional en su relación con los entes territoriales y promueve la integración de la nación con su territorio y su desarrollo, a través de la profundización de la descentralización, ordenamiento y autonomía local y la coordinación y armonización de las agendas de los diversos sectores administrativos, en procura de este objetivo. </w:t>
            </w:r>
          </w:p>
          <w:p w14:paraId="4D7ABBCA" w14:textId="3C2DCB19" w:rsidR="00853E5A" w:rsidRPr="00EB4E4F" w:rsidRDefault="00853E5A" w:rsidP="00EB4E4F">
            <w:pPr>
              <w:pStyle w:val="Prrafodelista"/>
              <w:spacing w:line="240" w:lineRule="auto"/>
              <w:ind w:left="360"/>
              <w:jc w:val="both"/>
              <w:rPr>
                <w:rFonts w:ascii="Arial" w:hAnsi="Arial" w:cs="Arial"/>
              </w:rPr>
            </w:pPr>
          </w:p>
          <w:p w14:paraId="6D5E5E94" w14:textId="77777777" w:rsidR="00B61A32" w:rsidRPr="00EB4E4F" w:rsidRDefault="0B51E878" w:rsidP="00EB4E4F">
            <w:pPr>
              <w:pStyle w:val="Prrafodelista"/>
              <w:spacing w:line="240" w:lineRule="auto"/>
              <w:ind w:left="360"/>
              <w:jc w:val="both"/>
              <w:rPr>
                <w:rFonts w:ascii="Arial" w:hAnsi="Arial" w:cs="Arial"/>
              </w:rPr>
            </w:pPr>
            <w:r w:rsidRPr="00EB4E4F">
              <w:rPr>
                <w:rFonts w:ascii="Arial" w:hAnsi="Arial" w:cs="Arial"/>
              </w:rPr>
              <w:t>Adicionalmente en el marco sus competencias misionales, tiene como objetivos la formulación de planes y proyectos en materia de Derechos Humanos y Derecho Internacional Humanitario, así como el diseño e implementación de conformidad con la ley, de las políticas públicas de protección, promoción, respeto y garantía de los Derechos Humanos, en coordinación con las demás entidades del Estado competentes, en observancia del Derecho Internacional Humanitario, con un enfoque integral, diferencial y social. El Decreto 2340 de 2015 por medio del cual se modifica el artículo 15 del Decreto 2893 de 2011, funciones de la Dirección de Derechos Humanos, establece dentro de sus competencias el adelantar los estudios y las investigaciones en Derechos Humanos y Derecho Internacional Humanitario que contribuyan al diagnóstico y la elaboración de propuestas tendientes a garantizar la vigencia de estos.</w:t>
            </w:r>
          </w:p>
          <w:p w14:paraId="2FD16AAD" w14:textId="7AAF7639" w:rsidR="00853E5A" w:rsidRPr="00EB4E4F" w:rsidRDefault="00853E5A" w:rsidP="00EB4E4F">
            <w:pPr>
              <w:pStyle w:val="Prrafodelista"/>
              <w:spacing w:line="240" w:lineRule="auto"/>
              <w:ind w:left="360"/>
              <w:jc w:val="both"/>
              <w:rPr>
                <w:rFonts w:ascii="Arial" w:hAnsi="Arial" w:cs="Arial"/>
              </w:rPr>
            </w:pPr>
          </w:p>
          <w:p w14:paraId="1664EFD7" w14:textId="47536ADB" w:rsidR="00B61A32" w:rsidRPr="00EB4E4F" w:rsidRDefault="0B51E878" w:rsidP="00EB4E4F">
            <w:pPr>
              <w:pStyle w:val="Prrafodelista"/>
              <w:spacing w:line="240" w:lineRule="auto"/>
              <w:ind w:left="360"/>
              <w:jc w:val="both"/>
              <w:rPr>
                <w:rFonts w:ascii="Arial" w:hAnsi="Arial" w:cs="Arial"/>
              </w:rPr>
            </w:pPr>
            <w:r w:rsidRPr="00EB4E4F">
              <w:rPr>
                <w:rFonts w:ascii="Arial" w:hAnsi="Arial" w:cs="Arial"/>
              </w:rPr>
              <w:t>El Decreto 303 de 2015, reglamentario de la Ley 1408 de 2010, por medio del cual se implementan un conjunto de medidas que contribuyan a la búsqueda, localización, identificación, inhumación o entierro y homenaje de las víctimas del delito de desaparición forzada en Colombia, tiene dentro de las temáticas que reglamenta, los lineamientos básicos para la adecuada conservación y custodia de los cuerpos o restos humanos de personas no identificadas (NN) e identificadas no reclamadas inhumadas o enterradas en cementerios</w:t>
            </w:r>
            <w:r w:rsidR="4A776D13" w:rsidRPr="00EB4E4F">
              <w:rPr>
                <w:rFonts w:ascii="Arial" w:hAnsi="Arial" w:cs="Arial"/>
              </w:rPr>
              <w:t xml:space="preserve">. </w:t>
            </w:r>
          </w:p>
          <w:p w14:paraId="2E5A5BC7" w14:textId="35E36882" w:rsidR="00853E5A" w:rsidRPr="00EB4E4F" w:rsidRDefault="00853E5A" w:rsidP="00EB4E4F">
            <w:pPr>
              <w:pStyle w:val="Prrafodelista"/>
              <w:spacing w:line="240" w:lineRule="auto"/>
              <w:ind w:left="360"/>
              <w:jc w:val="both"/>
              <w:rPr>
                <w:rFonts w:ascii="Arial" w:hAnsi="Arial" w:cs="Arial"/>
              </w:rPr>
            </w:pPr>
          </w:p>
          <w:p w14:paraId="5FD1DDB4" w14:textId="77777777" w:rsidR="00B61A32" w:rsidRPr="00EB4E4F" w:rsidRDefault="0B51E878" w:rsidP="00EB4E4F">
            <w:pPr>
              <w:pStyle w:val="Prrafodelista"/>
              <w:spacing w:line="240" w:lineRule="auto"/>
              <w:ind w:left="360"/>
              <w:jc w:val="both"/>
              <w:rPr>
                <w:rFonts w:ascii="Arial" w:hAnsi="Arial" w:cs="Arial"/>
              </w:rPr>
            </w:pPr>
            <w:r w:rsidRPr="00EB4E4F">
              <w:rPr>
                <w:rFonts w:ascii="Arial" w:hAnsi="Arial" w:cs="Arial"/>
              </w:rPr>
              <w:t>Con base en lo anterior, el Ministerio del Interior ha generado acciones de apoyo a los procesos de búsqueda y localización de personas desaparecidas, siendo una de ellas la presentación, ante del Departamento Nacional de Planeación, de un proyecto de inversión que desde sus inicios se ha implementado bajo el nombre “Búsqueda de Personas No Identificadas en Cementerios,” cuyo objetivo es fortalecer las capacidades institucionales de las entidades nacionales y territoriales enfocadas a una mejor gestión de los cementerios que tengan en sus terrenos inhumados cuerpos o restos humanos de personas no identificadas o “NN” y/o identificadas no reclamadas, a través de acciones enfocadas en el diagnóstico multidimensional de los cementerios visitados, apoyo a la generación al interior de los camposantos de espacios para su adecuada conservación y al fortalecimiento a la gestión de las administraciones locales y de cementerios.</w:t>
            </w:r>
          </w:p>
          <w:p w14:paraId="253153FB" w14:textId="0BB4798B" w:rsidR="00853E5A" w:rsidRPr="00EB4E4F" w:rsidRDefault="00853E5A" w:rsidP="00EB4E4F">
            <w:pPr>
              <w:pStyle w:val="Prrafodelista"/>
              <w:spacing w:line="240" w:lineRule="auto"/>
              <w:ind w:left="360"/>
              <w:jc w:val="both"/>
              <w:rPr>
                <w:rFonts w:ascii="Arial" w:hAnsi="Arial" w:cs="Arial"/>
              </w:rPr>
            </w:pPr>
          </w:p>
          <w:p w14:paraId="3137A6F8" w14:textId="77777777" w:rsidR="008C382A" w:rsidRDefault="1BFC7007" w:rsidP="00EB4E4F">
            <w:pPr>
              <w:pStyle w:val="Prrafodelista"/>
              <w:spacing w:line="240" w:lineRule="auto"/>
              <w:ind w:left="360"/>
              <w:jc w:val="both"/>
              <w:rPr>
                <w:rFonts w:ascii="Arial" w:hAnsi="Arial" w:cs="Arial"/>
              </w:rPr>
            </w:pPr>
            <w:r w:rsidRPr="1DC7A7D1">
              <w:rPr>
                <w:rFonts w:ascii="Arial" w:hAnsi="Arial" w:cs="Arial"/>
              </w:rPr>
              <w:t>De ahí, que la Dirección de Derechos Humanos del Ministerio del Interior se haya abocado a cumplir las órdenes, de acuerdo con el mandato normativo mencionado, mediante la convocatoria e impulso de la Mesa Interinstitucional de Cementerios en donde participan diferentes entidades del Estado y, para garantizar los derechos de las víctimas, vinculó a las organizaciones de víctimas y derechos humanos que participan en los procesos de medidas cautelares.</w:t>
            </w:r>
            <w:r w:rsidR="44F1645D" w:rsidRPr="1DC7A7D1">
              <w:rPr>
                <w:rFonts w:ascii="Arial" w:hAnsi="Arial" w:cs="Arial"/>
              </w:rPr>
              <w:t xml:space="preserve"> </w:t>
            </w:r>
          </w:p>
          <w:p w14:paraId="771ECCB9" w14:textId="2BA83C22" w:rsidR="0033126D" w:rsidRPr="00EB4E4F" w:rsidRDefault="44F1645D" w:rsidP="00EB4E4F">
            <w:pPr>
              <w:pStyle w:val="Prrafodelista"/>
              <w:spacing w:line="240" w:lineRule="auto"/>
              <w:ind w:left="360"/>
              <w:jc w:val="both"/>
              <w:rPr>
                <w:rFonts w:ascii="Arial" w:hAnsi="Arial" w:cs="Arial"/>
              </w:rPr>
            </w:pPr>
            <w:r w:rsidRPr="1DC7A7D1">
              <w:rPr>
                <w:rFonts w:ascii="Arial" w:hAnsi="Arial" w:cs="Arial"/>
              </w:rPr>
              <w:t>Esta ha sesionado, hasta la fecha, en nueve ocasiones: i) 18 de septiembre de 2023, ii) 05 de octubre de 2023, iii) 08 de noviembre de 2023, iv) 24 de noviembre de 2023, v) 17 de enero de 2024, el vi) 12 de febrero de 2024, el vii) el 14 de marzo, el vii) el 27 de mayo y el ix) 12 de junio de 2024</w:t>
            </w:r>
            <w:r w:rsidR="23E917CB" w:rsidRPr="1DC7A7D1">
              <w:rPr>
                <w:rFonts w:ascii="Arial" w:hAnsi="Arial" w:cs="Arial"/>
              </w:rPr>
              <w:t xml:space="preserve">, x) de junio de </w:t>
            </w:r>
            <w:r w:rsidR="23E917CB" w:rsidRPr="1DC7A7D1">
              <w:rPr>
                <w:rFonts w:ascii="Arial" w:hAnsi="Arial" w:cs="Arial"/>
              </w:rPr>
              <w:lastRenderedPageBreak/>
              <w:t>2024</w:t>
            </w:r>
            <w:r w:rsidRPr="1DC7A7D1">
              <w:rPr>
                <w:rFonts w:ascii="Arial" w:hAnsi="Arial" w:cs="Arial"/>
              </w:rPr>
              <w:t xml:space="preserve"> y se ha constituido en un </w:t>
            </w:r>
            <w:r w:rsidR="6E9523CD" w:rsidRPr="1DC7A7D1">
              <w:rPr>
                <w:rFonts w:ascii="Arial" w:hAnsi="Arial" w:cs="Arial"/>
              </w:rPr>
              <w:t xml:space="preserve">espacio que ha permitido la identificación de las principales </w:t>
            </w:r>
            <w:r w:rsidR="08CD8B05" w:rsidRPr="1DC7A7D1">
              <w:rPr>
                <w:rFonts w:ascii="Arial" w:hAnsi="Arial" w:cs="Arial"/>
              </w:rPr>
              <w:t>problemáticas asociadas con la intervención de cementerios</w:t>
            </w:r>
            <w:r w:rsidR="6E9523CD" w:rsidRPr="1DC7A7D1">
              <w:rPr>
                <w:rFonts w:ascii="Arial" w:hAnsi="Arial" w:cs="Arial"/>
              </w:rPr>
              <w:t xml:space="preserve">. </w:t>
            </w:r>
          </w:p>
          <w:p w14:paraId="68E64313" w14:textId="1EDCEC86" w:rsidR="00853E5A" w:rsidRPr="00EB4E4F" w:rsidRDefault="00853E5A" w:rsidP="00EB4E4F">
            <w:pPr>
              <w:pStyle w:val="Prrafodelista"/>
              <w:spacing w:line="240" w:lineRule="auto"/>
              <w:ind w:left="360"/>
              <w:jc w:val="both"/>
              <w:rPr>
                <w:rFonts w:ascii="Arial" w:hAnsi="Arial" w:cs="Arial"/>
              </w:rPr>
            </w:pPr>
          </w:p>
          <w:p w14:paraId="79B0EB3C" w14:textId="0711F970" w:rsidR="006E20C1" w:rsidRPr="00EB4E4F" w:rsidRDefault="6E9523CD" w:rsidP="00EB4E4F">
            <w:pPr>
              <w:pStyle w:val="Prrafodelista"/>
              <w:spacing w:line="240" w:lineRule="auto"/>
              <w:ind w:left="360"/>
              <w:jc w:val="both"/>
              <w:rPr>
                <w:rFonts w:ascii="Arial" w:hAnsi="Arial" w:cs="Arial"/>
              </w:rPr>
            </w:pPr>
            <w:r w:rsidRPr="00EB4E4F">
              <w:rPr>
                <w:rFonts w:ascii="Arial" w:hAnsi="Arial" w:cs="Arial"/>
              </w:rPr>
              <w:t>Las discusiones</w:t>
            </w:r>
            <w:r w:rsidR="44F1645D" w:rsidRPr="00EB4E4F">
              <w:rPr>
                <w:rFonts w:ascii="Arial" w:hAnsi="Arial" w:cs="Arial"/>
              </w:rPr>
              <w:t xml:space="preserve"> en este espacio</w:t>
            </w:r>
            <w:r w:rsidRPr="00EB4E4F">
              <w:rPr>
                <w:rFonts w:ascii="Arial" w:hAnsi="Arial" w:cs="Arial"/>
              </w:rPr>
              <w:t xml:space="preserve"> han generado herramientas de diagn</w:t>
            </w:r>
            <w:r w:rsidR="6B539E6F" w:rsidRPr="00EB4E4F">
              <w:rPr>
                <w:rFonts w:ascii="Arial" w:hAnsi="Arial" w:cs="Arial"/>
              </w:rPr>
              <w:t xml:space="preserve">óstico tales como lo son el diagnóstico normativo construido con el apoyo técnico de EQUITAS y complementado por </w:t>
            </w:r>
            <w:r w:rsidR="00364C65">
              <w:rPr>
                <w:rFonts w:ascii="Arial" w:hAnsi="Arial" w:cs="Arial"/>
              </w:rPr>
              <w:t xml:space="preserve">las </w:t>
            </w:r>
            <w:r w:rsidR="6B539E6F" w:rsidRPr="00EB4E4F">
              <w:rPr>
                <w:rFonts w:ascii="Arial" w:hAnsi="Arial" w:cs="Arial"/>
              </w:rPr>
              <w:t>instituciones</w:t>
            </w:r>
            <w:r w:rsidR="00364C65">
              <w:rPr>
                <w:rFonts w:ascii="Arial" w:hAnsi="Arial" w:cs="Arial"/>
              </w:rPr>
              <w:t xml:space="preserve"> en las sesiones adelantadas</w:t>
            </w:r>
            <w:r w:rsidR="6B539E6F" w:rsidRPr="00EB4E4F">
              <w:rPr>
                <w:rFonts w:ascii="Arial" w:hAnsi="Arial" w:cs="Arial"/>
              </w:rPr>
              <w:t xml:space="preserve"> </w:t>
            </w:r>
            <w:r w:rsidR="00364C65">
              <w:rPr>
                <w:rFonts w:ascii="Arial" w:hAnsi="Arial" w:cs="Arial"/>
              </w:rPr>
              <w:t>en</w:t>
            </w:r>
            <w:r w:rsidR="6B539E6F" w:rsidRPr="00EB4E4F">
              <w:rPr>
                <w:rFonts w:ascii="Arial" w:hAnsi="Arial" w:cs="Arial"/>
              </w:rPr>
              <w:t xml:space="preserve"> la Mesa</w:t>
            </w:r>
            <w:r w:rsidR="00364C65">
              <w:rPr>
                <w:rFonts w:ascii="Arial" w:hAnsi="Arial" w:cs="Arial"/>
              </w:rPr>
              <w:t xml:space="preserve"> interinstitucional</w:t>
            </w:r>
            <w:r w:rsidR="6B539E6F" w:rsidRPr="00EB4E4F">
              <w:rPr>
                <w:rFonts w:ascii="Arial" w:hAnsi="Arial" w:cs="Arial"/>
              </w:rPr>
              <w:t>,</w:t>
            </w:r>
            <w:r w:rsidR="79BD8E11" w:rsidRPr="00EB4E4F">
              <w:rPr>
                <w:rFonts w:ascii="Arial" w:hAnsi="Arial" w:cs="Arial"/>
              </w:rPr>
              <w:t xml:space="preserve"> el análisis de los diagnósticos multidimensionales realizados por el Ministerio del Interior, </w:t>
            </w:r>
            <w:r w:rsidR="6B539E6F" w:rsidRPr="00EB4E4F">
              <w:rPr>
                <w:rFonts w:ascii="Arial" w:hAnsi="Arial" w:cs="Arial"/>
              </w:rPr>
              <w:t xml:space="preserve">e igualmente los elementos apuntados por diferentes poblaciones fruto de la estrategia de participación establecida para ello. </w:t>
            </w:r>
          </w:p>
          <w:p w14:paraId="2BF67FC1" w14:textId="49A19B5D" w:rsidR="00853E5A" w:rsidRPr="00EB4E4F" w:rsidRDefault="00853E5A" w:rsidP="00EB4E4F">
            <w:pPr>
              <w:pStyle w:val="Prrafodelista"/>
              <w:spacing w:line="240" w:lineRule="auto"/>
              <w:ind w:left="360"/>
              <w:jc w:val="both"/>
              <w:rPr>
                <w:rFonts w:ascii="Arial" w:hAnsi="Arial" w:cs="Arial"/>
              </w:rPr>
            </w:pPr>
          </w:p>
          <w:p w14:paraId="5EB0A38A" w14:textId="6577C235" w:rsidR="00E804B6" w:rsidRPr="00EB4E4F" w:rsidRDefault="6B539E6F" w:rsidP="00EB4E4F">
            <w:pPr>
              <w:pStyle w:val="Prrafodelista"/>
              <w:spacing w:line="240" w:lineRule="auto"/>
              <w:ind w:left="360"/>
              <w:jc w:val="both"/>
              <w:rPr>
                <w:rFonts w:ascii="Arial" w:hAnsi="Arial" w:cs="Arial"/>
              </w:rPr>
            </w:pPr>
            <w:r w:rsidRPr="00EB4E4F">
              <w:rPr>
                <w:rFonts w:ascii="Arial" w:hAnsi="Arial" w:cs="Arial"/>
              </w:rPr>
              <w:t>E</w:t>
            </w:r>
            <w:r w:rsidR="79BD8E11" w:rsidRPr="00EB4E4F">
              <w:rPr>
                <w:rFonts w:ascii="Arial" w:hAnsi="Arial" w:cs="Arial"/>
              </w:rPr>
              <w:t>n efecto, e</w:t>
            </w:r>
            <w:r w:rsidRPr="00EB4E4F">
              <w:rPr>
                <w:rFonts w:ascii="Arial" w:hAnsi="Arial" w:cs="Arial"/>
              </w:rPr>
              <w:t>l Ministerio del Interior impulsó la realización de tres encuentros que formaron la estrategia participativa de la política pública. Un primer encuentro con sacerdotes y administradores de la Iglesia Católica el 10 y 11 de abril en el que participaron más de 30 personas. Un segundo encuentro de víctimas y organizaciones de víctimas donde participaron más de 60 personas de diferentes territorios y organizaciones a nivel nacional. Y un último encuentro con administraciones locales con medida cautelar el 25 de abril de 2024. A su vez se envió un formulario a estas entidades para la remisión de ideas y propuestas en relación con la Política.</w:t>
            </w:r>
          </w:p>
          <w:p w14:paraId="3820C339" w14:textId="6F4FB1DD" w:rsidR="00853E5A" w:rsidRPr="00EB4E4F" w:rsidRDefault="00853E5A" w:rsidP="00EB4E4F">
            <w:pPr>
              <w:pStyle w:val="Prrafodelista"/>
              <w:spacing w:line="240" w:lineRule="auto"/>
              <w:ind w:left="360"/>
              <w:jc w:val="both"/>
              <w:rPr>
                <w:rFonts w:ascii="Arial" w:hAnsi="Arial" w:cs="Arial"/>
              </w:rPr>
            </w:pPr>
          </w:p>
          <w:p w14:paraId="3009096C" w14:textId="5A5275F2" w:rsidR="009D27E9" w:rsidRPr="00EB4E4F" w:rsidRDefault="6B539E6F" w:rsidP="00EB4E4F">
            <w:pPr>
              <w:pStyle w:val="Prrafodelista"/>
              <w:ind w:left="360"/>
              <w:jc w:val="both"/>
              <w:rPr>
                <w:rFonts w:ascii="Arial" w:hAnsi="Arial" w:cs="Arial"/>
              </w:rPr>
            </w:pPr>
            <w:r w:rsidRPr="00EB4E4F">
              <w:rPr>
                <w:rFonts w:ascii="Arial" w:hAnsi="Arial" w:cs="Arial"/>
              </w:rPr>
              <w:t>Tod</w:t>
            </w:r>
            <w:r w:rsidR="79BD8E11" w:rsidRPr="00EB4E4F">
              <w:rPr>
                <w:rFonts w:ascii="Arial" w:hAnsi="Arial" w:cs="Arial"/>
              </w:rPr>
              <w:t xml:space="preserve">as estas actividades </w:t>
            </w:r>
            <w:r w:rsidR="3595FE9B" w:rsidRPr="00EB4E4F">
              <w:rPr>
                <w:rFonts w:ascii="Arial" w:hAnsi="Arial" w:cs="Arial"/>
              </w:rPr>
              <w:t>permitieron identificar dieciocho</w:t>
            </w:r>
            <w:r w:rsidR="3ADA8356" w:rsidRPr="00EB4E4F">
              <w:rPr>
                <w:rFonts w:ascii="Arial" w:hAnsi="Arial" w:cs="Arial"/>
              </w:rPr>
              <w:t xml:space="preserve"> </w:t>
            </w:r>
            <w:r w:rsidR="3595FE9B" w:rsidRPr="00EB4E4F">
              <w:rPr>
                <w:rFonts w:ascii="Arial" w:hAnsi="Arial" w:cs="Arial"/>
              </w:rPr>
              <w:t xml:space="preserve">(18) elementos entendidos como faltas, necesidades y problemáticas de carácter nacional y general en relación con el manejo de PNI y PINR en cementerios, a saber: </w:t>
            </w:r>
            <w:r w:rsidR="3595FE9B" w:rsidRPr="00C90FDC">
              <w:rPr>
                <w:rFonts w:ascii="Arial" w:hAnsi="Arial" w:cs="Arial"/>
                <w:b/>
                <w:bCs/>
              </w:rPr>
              <w:t>i)</w:t>
            </w:r>
            <w:r w:rsidR="3595FE9B" w:rsidRPr="00EB4E4F">
              <w:rPr>
                <w:rFonts w:ascii="Arial" w:hAnsi="Arial" w:cs="Arial"/>
              </w:rPr>
              <w:t xml:space="preserve"> plan de acción y seguimiento, </w:t>
            </w:r>
            <w:r w:rsidR="3595FE9B" w:rsidRPr="00C90FDC">
              <w:rPr>
                <w:rFonts w:ascii="Arial" w:hAnsi="Arial" w:cs="Arial"/>
                <w:b/>
                <w:bCs/>
              </w:rPr>
              <w:t>ii)</w:t>
            </w:r>
            <w:r w:rsidR="3595FE9B" w:rsidRPr="00EB4E4F">
              <w:rPr>
                <w:rFonts w:ascii="Arial" w:hAnsi="Arial" w:cs="Arial"/>
              </w:rPr>
              <w:t xml:space="preserve"> Cadena de custodia después del ingreso, </w:t>
            </w:r>
            <w:r w:rsidR="3595FE9B" w:rsidRPr="00C90FDC">
              <w:rPr>
                <w:rFonts w:ascii="Arial" w:hAnsi="Arial" w:cs="Arial"/>
                <w:b/>
                <w:bCs/>
              </w:rPr>
              <w:t>iii)</w:t>
            </w:r>
            <w:r w:rsidR="3595FE9B" w:rsidRPr="00EB4E4F">
              <w:rPr>
                <w:rFonts w:ascii="Arial" w:hAnsi="Arial" w:cs="Arial"/>
              </w:rPr>
              <w:t xml:space="preserve"> Estándares mínimos de los servicios funerarios, </w:t>
            </w:r>
            <w:r w:rsidR="3595FE9B" w:rsidRPr="00C90FDC">
              <w:rPr>
                <w:rFonts w:ascii="Arial" w:hAnsi="Arial" w:cs="Arial"/>
                <w:b/>
                <w:bCs/>
              </w:rPr>
              <w:t>iv)</w:t>
            </w:r>
            <w:r w:rsidR="3595FE9B" w:rsidRPr="00EB4E4F">
              <w:rPr>
                <w:rFonts w:ascii="Arial" w:hAnsi="Arial" w:cs="Arial"/>
              </w:rPr>
              <w:t xml:space="preserve"> Planes de acción de los cementerios, </w:t>
            </w:r>
            <w:r w:rsidR="3595FE9B" w:rsidRPr="00C90FDC">
              <w:rPr>
                <w:rFonts w:ascii="Arial" w:hAnsi="Arial" w:cs="Arial"/>
                <w:b/>
                <w:bCs/>
              </w:rPr>
              <w:t>v)</w:t>
            </w:r>
            <w:r w:rsidR="3595FE9B" w:rsidRPr="00EB4E4F">
              <w:rPr>
                <w:rFonts w:ascii="Arial" w:hAnsi="Arial" w:cs="Arial"/>
              </w:rPr>
              <w:t xml:space="preserve"> Titularidad del predio, </w:t>
            </w:r>
            <w:r w:rsidR="3595FE9B" w:rsidRPr="00C90FDC">
              <w:rPr>
                <w:rFonts w:ascii="Arial" w:hAnsi="Arial" w:cs="Arial"/>
                <w:b/>
                <w:bCs/>
              </w:rPr>
              <w:t>vi)</w:t>
            </w:r>
            <w:r w:rsidR="3595FE9B" w:rsidRPr="00EB4E4F">
              <w:rPr>
                <w:rFonts w:ascii="Arial" w:hAnsi="Arial" w:cs="Arial"/>
              </w:rPr>
              <w:t xml:space="preserve"> Enfoque étnico-racial, </w:t>
            </w:r>
            <w:r w:rsidR="3595FE9B" w:rsidRPr="00C90FDC">
              <w:rPr>
                <w:rFonts w:ascii="Arial" w:hAnsi="Arial" w:cs="Arial"/>
                <w:b/>
                <w:bCs/>
              </w:rPr>
              <w:t>vi</w:t>
            </w:r>
            <w:r w:rsidR="00C90FDC" w:rsidRPr="00C90FDC">
              <w:rPr>
                <w:rFonts w:ascii="Arial" w:hAnsi="Arial" w:cs="Arial"/>
                <w:b/>
                <w:bCs/>
              </w:rPr>
              <w:t>i</w:t>
            </w:r>
            <w:r w:rsidR="3595FE9B" w:rsidRPr="00C90FDC">
              <w:rPr>
                <w:rFonts w:ascii="Arial" w:hAnsi="Arial" w:cs="Arial"/>
                <w:b/>
                <w:bCs/>
              </w:rPr>
              <w:t>)</w:t>
            </w:r>
            <w:r w:rsidR="3595FE9B" w:rsidRPr="00EB4E4F">
              <w:rPr>
                <w:rFonts w:ascii="Arial" w:hAnsi="Arial" w:cs="Arial"/>
              </w:rPr>
              <w:t xml:space="preserve"> Censo de Cementerios, </w:t>
            </w:r>
            <w:r w:rsidR="3595FE9B" w:rsidRPr="00C90FDC">
              <w:rPr>
                <w:rFonts w:ascii="Arial" w:hAnsi="Arial" w:cs="Arial"/>
                <w:b/>
                <w:bCs/>
              </w:rPr>
              <w:t>viii)</w:t>
            </w:r>
            <w:r w:rsidR="3595FE9B" w:rsidRPr="00EB4E4F">
              <w:rPr>
                <w:rFonts w:ascii="Arial" w:hAnsi="Arial" w:cs="Arial"/>
              </w:rPr>
              <w:t xml:space="preserve"> Herramienta de apoyo al registro y sistema de información por cementerio de inhumación, exhumación y/o traslado de cuerpos, </w:t>
            </w:r>
            <w:r w:rsidR="3595FE9B" w:rsidRPr="00C90FDC">
              <w:rPr>
                <w:rFonts w:ascii="Arial" w:hAnsi="Arial" w:cs="Arial"/>
                <w:b/>
                <w:bCs/>
              </w:rPr>
              <w:t>ix)</w:t>
            </w:r>
            <w:r w:rsidR="3595FE9B" w:rsidRPr="00EB4E4F">
              <w:rPr>
                <w:rFonts w:ascii="Arial" w:hAnsi="Arial" w:cs="Arial"/>
              </w:rPr>
              <w:t xml:space="preserve"> aspectos legales del cementerio, </w:t>
            </w:r>
            <w:r w:rsidR="3595FE9B" w:rsidRPr="00C90FDC">
              <w:rPr>
                <w:rFonts w:ascii="Arial" w:hAnsi="Arial" w:cs="Arial"/>
                <w:b/>
                <w:bCs/>
              </w:rPr>
              <w:t>x)</w:t>
            </w:r>
            <w:r w:rsidR="3595FE9B" w:rsidRPr="00EB4E4F">
              <w:rPr>
                <w:rFonts w:ascii="Arial" w:hAnsi="Arial" w:cs="Arial"/>
              </w:rPr>
              <w:t xml:space="preserve"> Mecanismo Coordinación nación Territorio, </w:t>
            </w:r>
            <w:r w:rsidR="3595FE9B" w:rsidRPr="00C90FDC">
              <w:rPr>
                <w:rFonts w:ascii="Arial" w:hAnsi="Arial" w:cs="Arial"/>
                <w:b/>
                <w:bCs/>
              </w:rPr>
              <w:t>xi)</w:t>
            </w:r>
            <w:r w:rsidR="3595FE9B" w:rsidRPr="00EB4E4F">
              <w:rPr>
                <w:rFonts w:ascii="Arial" w:hAnsi="Arial" w:cs="Arial"/>
              </w:rPr>
              <w:t xml:space="preserve"> Condiciones laborales, sepultureros y condiciones de salubridad, </w:t>
            </w:r>
            <w:r w:rsidR="3595FE9B" w:rsidRPr="00C90FDC">
              <w:rPr>
                <w:rFonts w:ascii="Arial" w:hAnsi="Arial" w:cs="Arial"/>
                <w:b/>
                <w:bCs/>
              </w:rPr>
              <w:t>xii)</w:t>
            </w:r>
            <w:r w:rsidR="3595FE9B" w:rsidRPr="00EB4E4F">
              <w:rPr>
                <w:rFonts w:ascii="Arial" w:hAnsi="Arial" w:cs="Arial"/>
              </w:rPr>
              <w:t xml:space="preserve"> Capacitación y educación a los personas que trabajan en los cementerios, </w:t>
            </w:r>
            <w:r w:rsidR="3595FE9B" w:rsidRPr="00C90FDC">
              <w:rPr>
                <w:rFonts w:ascii="Arial" w:hAnsi="Arial" w:cs="Arial"/>
                <w:b/>
                <w:bCs/>
              </w:rPr>
              <w:t>xii</w:t>
            </w:r>
            <w:r w:rsidR="79BD8E11" w:rsidRPr="00C90FDC">
              <w:rPr>
                <w:rFonts w:ascii="Arial" w:hAnsi="Arial" w:cs="Arial"/>
                <w:b/>
                <w:bCs/>
              </w:rPr>
              <w:t>i)</w:t>
            </w:r>
            <w:r w:rsidR="3595FE9B" w:rsidRPr="00EB4E4F">
              <w:rPr>
                <w:rFonts w:ascii="Arial" w:hAnsi="Arial" w:cs="Arial"/>
              </w:rPr>
              <w:t xml:space="preserve"> Clasificación territorial de cementerios, </w:t>
            </w:r>
            <w:r w:rsidR="79BD8E11" w:rsidRPr="00C90FDC">
              <w:rPr>
                <w:rFonts w:ascii="Arial" w:hAnsi="Arial" w:cs="Arial"/>
                <w:b/>
                <w:bCs/>
              </w:rPr>
              <w:t>xiv)</w:t>
            </w:r>
            <w:r w:rsidR="79BD8E11" w:rsidRPr="00EB4E4F">
              <w:rPr>
                <w:rFonts w:ascii="Arial" w:hAnsi="Arial" w:cs="Arial"/>
              </w:rPr>
              <w:t xml:space="preserve"> </w:t>
            </w:r>
            <w:r w:rsidR="3595FE9B" w:rsidRPr="00EB4E4F">
              <w:rPr>
                <w:rFonts w:ascii="Arial" w:hAnsi="Arial" w:cs="Arial"/>
              </w:rPr>
              <w:t>Análisis de riesgos en general y medioambientales</w:t>
            </w:r>
            <w:r w:rsidR="79BD8E11" w:rsidRPr="00EB4E4F">
              <w:rPr>
                <w:rFonts w:ascii="Arial" w:hAnsi="Arial" w:cs="Arial"/>
              </w:rPr>
              <w:t xml:space="preserve">, </w:t>
            </w:r>
            <w:r w:rsidR="79BD8E11" w:rsidRPr="00C90FDC">
              <w:rPr>
                <w:rFonts w:ascii="Arial" w:hAnsi="Arial" w:cs="Arial"/>
                <w:b/>
                <w:bCs/>
              </w:rPr>
              <w:t>xv)</w:t>
            </w:r>
            <w:r w:rsidR="79BD8E11" w:rsidRPr="00EB4E4F">
              <w:rPr>
                <w:rFonts w:ascii="Arial" w:hAnsi="Arial" w:cs="Arial"/>
              </w:rPr>
              <w:t xml:space="preserve"> </w:t>
            </w:r>
            <w:r w:rsidR="3595FE9B" w:rsidRPr="00EB4E4F">
              <w:rPr>
                <w:rFonts w:ascii="Arial" w:hAnsi="Arial" w:cs="Arial"/>
              </w:rPr>
              <w:t>Articulación con el sistema de búsqueda</w:t>
            </w:r>
            <w:r w:rsidR="79BD8E11" w:rsidRPr="00EB4E4F">
              <w:rPr>
                <w:rFonts w:ascii="Arial" w:hAnsi="Arial" w:cs="Arial"/>
              </w:rPr>
              <w:t xml:space="preserve">, </w:t>
            </w:r>
            <w:r w:rsidR="79BD8E11" w:rsidRPr="00C90FDC">
              <w:rPr>
                <w:rFonts w:ascii="Arial" w:hAnsi="Arial" w:cs="Arial"/>
                <w:b/>
                <w:bCs/>
              </w:rPr>
              <w:t>xvi)</w:t>
            </w:r>
            <w:r w:rsidR="3595FE9B" w:rsidRPr="00EB4E4F">
              <w:rPr>
                <w:rFonts w:ascii="Arial" w:hAnsi="Arial" w:cs="Arial"/>
              </w:rPr>
              <w:t xml:space="preserve"> Sistemas de información y estandarización de procesos</w:t>
            </w:r>
            <w:r w:rsidR="79BD8E11" w:rsidRPr="00EB4E4F">
              <w:rPr>
                <w:rFonts w:ascii="Arial" w:hAnsi="Arial" w:cs="Arial"/>
              </w:rPr>
              <w:t xml:space="preserve">, </w:t>
            </w:r>
            <w:r w:rsidR="79BD8E11" w:rsidRPr="00C90FDC">
              <w:rPr>
                <w:rFonts w:ascii="Arial" w:hAnsi="Arial" w:cs="Arial"/>
                <w:b/>
                <w:bCs/>
              </w:rPr>
              <w:t>xvii)</w:t>
            </w:r>
            <w:r w:rsidR="79BD8E11" w:rsidRPr="00EB4E4F">
              <w:rPr>
                <w:rFonts w:ascii="Arial" w:hAnsi="Arial" w:cs="Arial"/>
              </w:rPr>
              <w:t xml:space="preserve"> </w:t>
            </w:r>
            <w:r w:rsidR="3595FE9B" w:rsidRPr="00EB4E4F">
              <w:rPr>
                <w:rFonts w:ascii="Arial" w:hAnsi="Arial" w:cs="Arial"/>
              </w:rPr>
              <w:t>Participación de las víctimas</w:t>
            </w:r>
            <w:r w:rsidR="79BD8E11" w:rsidRPr="00EB4E4F">
              <w:rPr>
                <w:rFonts w:ascii="Arial" w:hAnsi="Arial" w:cs="Arial"/>
              </w:rPr>
              <w:t xml:space="preserve"> y </w:t>
            </w:r>
            <w:r w:rsidR="79BD8E11" w:rsidRPr="00C90FDC">
              <w:rPr>
                <w:rFonts w:ascii="Arial" w:hAnsi="Arial" w:cs="Arial"/>
                <w:b/>
                <w:bCs/>
              </w:rPr>
              <w:t>xviii)</w:t>
            </w:r>
            <w:r w:rsidR="79BD8E11" w:rsidRPr="00EB4E4F">
              <w:rPr>
                <w:rFonts w:ascii="Arial" w:hAnsi="Arial" w:cs="Arial"/>
              </w:rPr>
              <w:t xml:space="preserve"> </w:t>
            </w:r>
            <w:r w:rsidR="3595FE9B" w:rsidRPr="00EB4E4F">
              <w:rPr>
                <w:rFonts w:ascii="Arial" w:hAnsi="Arial" w:cs="Arial"/>
              </w:rPr>
              <w:t xml:space="preserve">Articulación </w:t>
            </w:r>
            <w:r w:rsidR="79BD8E11" w:rsidRPr="00EB4E4F">
              <w:rPr>
                <w:rFonts w:ascii="Arial" w:hAnsi="Arial" w:cs="Arial"/>
              </w:rPr>
              <w:t xml:space="preserve">con </w:t>
            </w:r>
            <w:r w:rsidR="3595FE9B" w:rsidRPr="00EB4E4F">
              <w:rPr>
                <w:rFonts w:ascii="Arial" w:hAnsi="Arial" w:cs="Arial"/>
              </w:rPr>
              <w:t xml:space="preserve">cementerios </w:t>
            </w:r>
            <w:r w:rsidR="79BD8E11" w:rsidRPr="00EB4E4F">
              <w:rPr>
                <w:rFonts w:ascii="Arial" w:hAnsi="Arial" w:cs="Arial"/>
              </w:rPr>
              <w:t xml:space="preserve">no formales. </w:t>
            </w:r>
            <w:r w:rsidR="3D6108BF" w:rsidRPr="00EB4E4F">
              <w:rPr>
                <w:rFonts w:ascii="Arial" w:hAnsi="Arial" w:cs="Arial"/>
              </w:rPr>
              <w:t>Igualmente</w:t>
            </w:r>
            <w:r w:rsidR="46C32B6E" w:rsidRPr="00EB4E4F">
              <w:rPr>
                <w:rFonts w:ascii="Arial" w:hAnsi="Arial" w:cs="Arial"/>
              </w:rPr>
              <w:t xml:space="preserve"> se identificó la necesidad de </w:t>
            </w:r>
            <w:r w:rsidR="33930CC9" w:rsidRPr="00EB4E4F">
              <w:rPr>
                <w:rFonts w:ascii="Arial" w:hAnsi="Arial" w:cs="Arial"/>
              </w:rPr>
              <w:t>incorporar los enfoques de derechos, de género, étnico, territorial y diferencial, y a su vez, un enfoque restaurativo</w:t>
            </w:r>
            <w:r w:rsidR="538B15D0" w:rsidRPr="00EB4E4F">
              <w:rPr>
                <w:rFonts w:ascii="Arial" w:hAnsi="Arial" w:cs="Arial"/>
              </w:rPr>
              <w:t xml:space="preserve">. </w:t>
            </w:r>
          </w:p>
          <w:p w14:paraId="73B55F50" w14:textId="33ED3FEE" w:rsidR="00853E5A" w:rsidRPr="00EB4E4F" w:rsidRDefault="00853E5A" w:rsidP="00EB4E4F">
            <w:pPr>
              <w:pStyle w:val="Prrafodelista"/>
              <w:spacing w:after="0"/>
              <w:ind w:left="360"/>
              <w:jc w:val="both"/>
              <w:rPr>
                <w:rFonts w:ascii="Arial" w:hAnsi="Arial" w:cs="Arial"/>
              </w:rPr>
            </w:pPr>
          </w:p>
          <w:p w14:paraId="0E8AD7D1" w14:textId="6D2E54EB" w:rsidR="2C43772C" w:rsidRPr="00EB4E4F" w:rsidRDefault="2C43772C" w:rsidP="00EB4E4F">
            <w:pPr>
              <w:pStyle w:val="Prrafodelista"/>
              <w:spacing w:after="0"/>
              <w:ind w:left="360"/>
              <w:jc w:val="both"/>
              <w:rPr>
                <w:rFonts w:ascii="Arial" w:hAnsi="Arial" w:cs="Arial"/>
              </w:rPr>
            </w:pPr>
            <w:r w:rsidRPr="1DC7A7D1">
              <w:rPr>
                <w:rFonts w:ascii="Arial" w:hAnsi="Arial" w:cs="Arial"/>
              </w:rPr>
              <w:t xml:space="preserve">A la fecha sólo se cuenta con un instrumento limitado que establece los lineamientos para la prestación de los servicios de cementerios, inhumación, exhumación y cremación de cadáveres en el país, y que corresponde a la Resolución 5194 de 2010 del Ministerio de Salud y Protección Social, </w:t>
            </w:r>
            <w:r w:rsidR="011AFE9B" w:rsidRPr="1DC7A7D1">
              <w:rPr>
                <w:rFonts w:ascii="Arial" w:hAnsi="Arial" w:cs="Arial"/>
              </w:rPr>
              <w:t xml:space="preserve"> pero excluye</w:t>
            </w:r>
            <w:r w:rsidRPr="1DC7A7D1">
              <w:rPr>
                <w:rFonts w:ascii="Arial" w:hAnsi="Arial" w:cs="Arial"/>
              </w:rPr>
              <w:t xml:space="preserve"> las responsabilidades que tienen los territorios étnicos, y con algunas contradicciones con otros cuerpos normativos en materia de víctimas  y abordaje técnico forense (Ley 1408 de 2010 y su Decreto reglamentario; Ley 1448 de 2011 y sus Decretos reglamentarios; Estándares Forenses Mínimos para la Búsqueda de Personas Desaparecidas y la Recuperación e Identificación de Cadáveres, Principios Rectores para la Búsqueda de Personas Desaparecidas), entre otros.</w:t>
            </w:r>
          </w:p>
          <w:p w14:paraId="1F1484B6" w14:textId="4EEFBEDF" w:rsidR="00853E5A" w:rsidRPr="00EB4E4F" w:rsidRDefault="00853E5A" w:rsidP="00EB4E4F">
            <w:pPr>
              <w:ind w:left="360"/>
              <w:jc w:val="both"/>
              <w:rPr>
                <w:rFonts w:cs="Arial"/>
                <w:sz w:val="22"/>
                <w:szCs w:val="22"/>
              </w:rPr>
            </w:pPr>
          </w:p>
          <w:p w14:paraId="78A4339F" w14:textId="5DD74ED0" w:rsidR="578D4E53" w:rsidRPr="00EB4E4F" w:rsidRDefault="578D4E53" w:rsidP="00EB4E4F">
            <w:pPr>
              <w:pStyle w:val="Prrafodelista"/>
              <w:spacing w:after="0"/>
              <w:ind w:left="360"/>
              <w:jc w:val="both"/>
              <w:rPr>
                <w:rFonts w:ascii="Arial" w:hAnsi="Arial" w:cs="Arial"/>
              </w:rPr>
            </w:pPr>
            <w:r w:rsidRPr="00EB4E4F">
              <w:rPr>
                <w:rFonts w:ascii="Arial" w:hAnsi="Arial" w:cs="Arial"/>
              </w:rPr>
              <w:t>Por otro lado, frente al manejo de los cuerpos se observa que la normativa no contempla todas las variables ni los escenarios que se pueden presentar en Colombia frente a la muerte de las personas, así como tampoco involucra a todas las entidades, especialmente a las creadas en el marco del Sistema Integral de Verdad, Justicia y Reparación, en las responsabilidades específicas que cada una de ellas tiene.</w:t>
            </w:r>
          </w:p>
          <w:p w14:paraId="557F1319" w14:textId="21334108" w:rsidR="578D4E53" w:rsidRPr="00EB4E4F" w:rsidRDefault="578D4E53" w:rsidP="00EB4E4F">
            <w:pPr>
              <w:pStyle w:val="Prrafodelista"/>
              <w:spacing w:after="0"/>
              <w:ind w:left="360"/>
              <w:jc w:val="both"/>
              <w:rPr>
                <w:rFonts w:ascii="Arial" w:hAnsi="Arial" w:cs="Arial"/>
                <w:lang w:val="es"/>
              </w:rPr>
            </w:pPr>
            <w:r w:rsidRPr="00EB4E4F">
              <w:rPr>
                <w:rFonts w:ascii="Arial" w:hAnsi="Arial" w:cs="Arial"/>
                <w:lang w:val="es"/>
              </w:rPr>
              <w:lastRenderedPageBreak/>
              <w:t xml:space="preserve"> </w:t>
            </w:r>
          </w:p>
          <w:p w14:paraId="08C6DF2E" w14:textId="1B8292D3" w:rsidR="531D9C7A" w:rsidRPr="00EB4E4F" w:rsidRDefault="531D9C7A" w:rsidP="00EB4E4F">
            <w:pPr>
              <w:pStyle w:val="Prrafodelista"/>
              <w:spacing w:after="0"/>
              <w:ind w:left="360"/>
              <w:jc w:val="both"/>
              <w:rPr>
                <w:rFonts w:ascii="Arial" w:hAnsi="Arial" w:cs="Arial"/>
              </w:rPr>
            </w:pPr>
            <w:proofErr w:type="spellStart"/>
            <w:r w:rsidRPr="00EB4E4F">
              <w:rPr>
                <w:rFonts w:ascii="Arial" w:hAnsi="Arial" w:cs="Arial"/>
              </w:rPr>
              <w:t>Igualmen</w:t>
            </w:r>
            <w:proofErr w:type="spellEnd"/>
            <w:r w:rsidRPr="00EB4E4F">
              <w:rPr>
                <w:rFonts w:ascii="Arial" w:hAnsi="Arial" w:cs="Arial"/>
                <w:lang w:val="es"/>
              </w:rPr>
              <w:t xml:space="preserve">te, </w:t>
            </w:r>
            <w:r w:rsidRPr="00EB4E4F">
              <w:rPr>
                <w:rFonts w:ascii="Arial" w:hAnsi="Arial" w:cs="Arial"/>
              </w:rPr>
              <w:t xml:space="preserve">existe una diferencia entre la cadena de custodia que se tiene hasta antes de que el cuerpo ingrese al cementerio, y la cadena de custodia después de dicho ingreso. En los momentos previos la custodia la conserva quién tiene contacto directo con el cuerpo, pero al entrar al </w:t>
            </w:r>
            <w:r w:rsidR="26DC9792" w:rsidRPr="00EB4E4F">
              <w:rPr>
                <w:rFonts w:ascii="Arial" w:hAnsi="Arial" w:cs="Arial"/>
              </w:rPr>
              <w:t>cementerio</w:t>
            </w:r>
            <w:r w:rsidRPr="00EB4E4F">
              <w:rPr>
                <w:rFonts w:ascii="Arial" w:hAnsi="Arial" w:cs="Arial"/>
              </w:rPr>
              <w:t xml:space="preserve"> esta custodia queda formalmente en cabeza de la autoridad judicial, aunque materialmente este a cargo de la administración del c</w:t>
            </w:r>
            <w:r w:rsidR="72121D16" w:rsidRPr="00EB4E4F">
              <w:rPr>
                <w:rFonts w:ascii="Arial" w:hAnsi="Arial" w:cs="Arial"/>
              </w:rPr>
              <w:t>ementerio</w:t>
            </w:r>
            <w:r w:rsidRPr="00EB4E4F">
              <w:rPr>
                <w:rFonts w:ascii="Arial" w:hAnsi="Arial" w:cs="Arial"/>
              </w:rPr>
              <w:t>. Esto conlleva a que ninguna persona queda con la responsabilidad del cuidado del cuerpo</w:t>
            </w:r>
            <w:r w:rsidR="00152723">
              <w:rPr>
                <w:rFonts w:ascii="Arial" w:hAnsi="Arial" w:cs="Arial"/>
              </w:rPr>
              <w:t xml:space="preserve"> y su correspondiente custodia</w:t>
            </w:r>
            <w:r w:rsidRPr="00EB4E4F">
              <w:rPr>
                <w:rFonts w:ascii="Arial" w:hAnsi="Arial" w:cs="Arial"/>
              </w:rPr>
              <w:t xml:space="preserve">, lo que incrementa la posibilidad de pérdida. </w:t>
            </w:r>
          </w:p>
          <w:p w14:paraId="5830DDE6" w14:textId="6E5C22CE" w:rsidR="00853E5A" w:rsidRPr="00EB4E4F" w:rsidRDefault="00853E5A" w:rsidP="00EB4E4F">
            <w:pPr>
              <w:pStyle w:val="Prrafodelista"/>
              <w:spacing w:after="0"/>
              <w:ind w:left="360"/>
              <w:jc w:val="both"/>
              <w:rPr>
                <w:rFonts w:ascii="Arial" w:hAnsi="Arial" w:cs="Arial"/>
                <w:lang w:val="es"/>
              </w:rPr>
            </w:pPr>
          </w:p>
          <w:p w14:paraId="11E52DA3" w14:textId="00273C38" w:rsidR="24CAFC9A" w:rsidRPr="00EB4E4F" w:rsidRDefault="24CAFC9A" w:rsidP="00EB4E4F">
            <w:pPr>
              <w:pStyle w:val="Prrafodelista"/>
              <w:spacing w:after="0"/>
              <w:ind w:left="360"/>
              <w:jc w:val="both"/>
              <w:rPr>
                <w:rFonts w:ascii="Arial" w:hAnsi="Arial" w:cs="Arial"/>
              </w:rPr>
            </w:pPr>
            <w:r w:rsidRPr="00EB4E4F">
              <w:rPr>
                <w:rFonts w:ascii="Arial" w:hAnsi="Arial" w:cs="Arial"/>
              </w:rPr>
              <w:t>A esta diferencia en la cadena de custodia, se suman los deficientes o inexistentes sistemas de información y registro de los cuerpos que ingresan y su ubicación en el cementerio, que reflejan falencias en los procedimientos de registro de la inhumación, la exhumación, la cremación y el traslado de los fallecidos identificados (PI), no identificados (PNI) y sin reclamar (PINR) en los cementerios.</w:t>
            </w:r>
            <w:r w:rsidR="531D9C7A" w:rsidRPr="00EB4E4F">
              <w:rPr>
                <w:rFonts w:ascii="Arial" w:hAnsi="Arial" w:cs="Arial"/>
              </w:rPr>
              <w:t xml:space="preserve"> Esto afecta la trazabilidad, y con ello, la cadena de custodia de los cuerpos, haciendo que sea prácticamente imposible recuperarlos y entregarlos en condiciones de dignidad a sus familiares.  Lo anterior se suma a la ausencia de un censo de cementerios y a la falta de consolidación de un universo de </w:t>
            </w:r>
            <w:r w:rsidR="630F8F7D" w:rsidRPr="00EB4E4F">
              <w:rPr>
                <w:rFonts w:ascii="Arial" w:hAnsi="Arial" w:cs="Arial"/>
              </w:rPr>
              <w:t>P</w:t>
            </w:r>
            <w:r w:rsidR="531D9C7A" w:rsidRPr="00EB4E4F">
              <w:rPr>
                <w:rFonts w:ascii="Arial" w:hAnsi="Arial" w:cs="Arial"/>
              </w:rPr>
              <w:t>NI y PINR inhumadas en los camposantos.</w:t>
            </w:r>
          </w:p>
          <w:p w14:paraId="3E702FC6" w14:textId="4973FDBD" w:rsidR="00853E5A" w:rsidRPr="00EB4E4F" w:rsidRDefault="00853E5A" w:rsidP="00EB4E4F">
            <w:pPr>
              <w:jc w:val="both"/>
              <w:rPr>
                <w:rFonts w:cs="Arial"/>
                <w:sz w:val="22"/>
                <w:szCs w:val="22"/>
              </w:rPr>
            </w:pPr>
          </w:p>
          <w:p w14:paraId="2A23D20B" w14:textId="070C67B4" w:rsidR="79BD8E11" w:rsidRPr="00EB4E4F" w:rsidRDefault="79BD8E11" w:rsidP="00EB4E4F">
            <w:pPr>
              <w:pStyle w:val="Prrafodelista"/>
              <w:spacing w:line="240" w:lineRule="auto"/>
              <w:ind w:left="360"/>
              <w:jc w:val="both"/>
              <w:rPr>
                <w:rFonts w:ascii="Arial" w:hAnsi="Arial" w:cs="Arial"/>
              </w:rPr>
            </w:pPr>
            <w:r w:rsidRPr="00EB4E4F">
              <w:rPr>
                <w:rFonts w:ascii="Arial" w:hAnsi="Arial" w:cs="Arial"/>
              </w:rPr>
              <w:t xml:space="preserve">Teniendo en cuenta que estas necesidades y problemáticas son diversas y responden tanto a deficiencias </w:t>
            </w:r>
            <w:r w:rsidR="55C9D3D4" w:rsidRPr="00EB4E4F">
              <w:rPr>
                <w:rFonts w:ascii="Arial" w:hAnsi="Arial" w:cs="Arial"/>
              </w:rPr>
              <w:t xml:space="preserve">en los instrumentos normativos, como a retos en materia articulación y actuación de las entidades estatales, y a su vez en aras de dar cumplimiento a la orden emanada de la Jurisdicción Especial para la Paz, la Política Pública constará de dos componentes: </w:t>
            </w:r>
            <w:r w:rsidR="44F1645D" w:rsidRPr="00EB4E4F">
              <w:rPr>
                <w:rFonts w:ascii="Arial" w:hAnsi="Arial" w:cs="Arial"/>
              </w:rPr>
              <w:t>i) el presente decreto por el cual se adopta la política y contiene los ajustes normativos necesarios para ello y ii) el plan de acción, entendido este como el instrumento de planeación y seguimiento que materializa las disposiciones normativas</w:t>
            </w:r>
            <w:r w:rsidR="0A38DFCC" w:rsidRPr="00EB4E4F">
              <w:rPr>
                <w:rFonts w:ascii="Arial" w:hAnsi="Arial" w:cs="Arial"/>
              </w:rPr>
              <w:t xml:space="preserve"> y que contendrá los elementos mínimos que permitan hacer seguimiento a las acciones realizadas por las diferentes entidades competentes en esta política pública, esto es, in</w:t>
            </w:r>
            <w:r w:rsidR="79BA8F18" w:rsidRPr="00EB4E4F">
              <w:rPr>
                <w:rFonts w:ascii="Arial" w:hAnsi="Arial" w:cs="Arial"/>
              </w:rPr>
              <w:t>dicadores, responsables y presupuestos.</w:t>
            </w:r>
          </w:p>
          <w:p w14:paraId="339185BA" w14:textId="2EE6A5EA" w:rsidR="00853E5A" w:rsidRPr="00EB4E4F" w:rsidRDefault="00853E5A" w:rsidP="00EB4E4F">
            <w:pPr>
              <w:pStyle w:val="Prrafodelista"/>
              <w:spacing w:line="240" w:lineRule="auto"/>
              <w:ind w:left="360"/>
              <w:jc w:val="both"/>
              <w:rPr>
                <w:rFonts w:ascii="Arial" w:hAnsi="Arial" w:cs="Arial"/>
              </w:rPr>
            </w:pPr>
          </w:p>
          <w:p w14:paraId="7674AB7C" w14:textId="257CC025" w:rsidR="007D3E3C" w:rsidRPr="00EB4E4F" w:rsidRDefault="44F1645D" w:rsidP="00EB4E4F">
            <w:pPr>
              <w:pStyle w:val="Prrafodelista"/>
              <w:spacing w:line="240" w:lineRule="auto"/>
              <w:ind w:left="360"/>
              <w:jc w:val="both"/>
              <w:rPr>
                <w:rFonts w:ascii="Arial" w:hAnsi="Arial" w:cs="Arial"/>
              </w:rPr>
            </w:pPr>
            <w:r w:rsidRPr="00EB4E4F">
              <w:rPr>
                <w:rFonts w:ascii="Arial" w:hAnsi="Arial" w:cs="Arial"/>
              </w:rPr>
              <w:t>La propuesta de Decreto, y el plan que desarrolla las acciones</w:t>
            </w:r>
            <w:r w:rsidR="0F9B2157" w:rsidRPr="00EB4E4F">
              <w:rPr>
                <w:rFonts w:ascii="Arial" w:hAnsi="Arial" w:cs="Arial"/>
              </w:rPr>
              <w:t xml:space="preserve"> pretende</w:t>
            </w:r>
            <w:r w:rsidR="04917C46" w:rsidRPr="00EB4E4F">
              <w:rPr>
                <w:rFonts w:ascii="Arial" w:hAnsi="Arial" w:cs="Arial"/>
              </w:rPr>
              <w:t xml:space="preserve">n </w:t>
            </w:r>
            <w:r w:rsidRPr="00EB4E4F">
              <w:rPr>
                <w:rFonts w:ascii="Arial" w:hAnsi="Arial" w:cs="Arial"/>
              </w:rPr>
              <w:t>responder a las fallas identificadas y anteriormente mencionadas, actualizar los instrumentos de planeación actuales, articular estos esfuerzos con el recién creado Sistema Nacional de Búsqueda</w:t>
            </w:r>
            <w:r w:rsidR="0F9B2157" w:rsidRPr="00EB4E4F">
              <w:rPr>
                <w:rFonts w:ascii="Arial" w:hAnsi="Arial" w:cs="Arial"/>
              </w:rPr>
              <w:t xml:space="preserve"> (Decreto 532 de 2024)</w:t>
            </w:r>
            <w:r w:rsidRPr="00EB4E4F">
              <w:rPr>
                <w:rFonts w:ascii="Arial" w:hAnsi="Arial" w:cs="Arial"/>
              </w:rPr>
              <w:t>, fortalecer la a</w:t>
            </w:r>
            <w:r w:rsidR="19056355" w:rsidRPr="00EB4E4F">
              <w:rPr>
                <w:rFonts w:ascii="Arial" w:hAnsi="Arial" w:cs="Arial"/>
              </w:rPr>
              <w:t>rticulació</w:t>
            </w:r>
            <w:r w:rsidRPr="00EB4E4F">
              <w:rPr>
                <w:rFonts w:ascii="Arial" w:hAnsi="Arial" w:cs="Arial"/>
              </w:rPr>
              <w:t>n nacional y territorial</w:t>
            </w:r>
            <w:r w:rsidR="00971A51">
              <w:rPr>
                <w:rFonts w:ascii="Arial" w:hAnsi="Arial" w:cs="Arial"/>
              </w:rPr>
              <w:t xml:space="preserve">, </w:t>
            </w:r>
            <w:r w:rsidRPr="00EB4E4F">
              <w:rPr>
                <w:rFonts w:ascii="Arial" w:hAnsi="Arial" w:cs="Arial"/>
              </w:rPr>
              <w:t xml:space="preserve"> facilitar la participación de las víctimas y organizaciones de víctimas al respecto.</w:t>
            </w:r>
          </w:p>
        </w:tc>
        <w:bookmarkStart w:id="0" w:name="_GoBack"/>
        <w:bookmarkEnd w:id="0"/>
      </w:tr>
      <w:tr w:rsidR="00DF60FD" w:rsidRPr="00EB4E4F" w14:paraId="02EB378F" w14:textId="77777777" w:rsidTr="1DC7A7D1">
        <w:trPr>
          <w:trHeight w:val="52"/>
        </w:trPr>
        <w:tc>
          <w:tcPr>
            <w:tcW w:w="10773" w:type="dxa"/>
            <w:gridSpan w:val="3"/>
            <w:shd w:val="clear" w:color="auto" w:fill="FFFFFF" w:themeFill="background1"/>
            <w:vAlign w:val="center"/>
          </w:tcPr>
          <w:p w14:paraId="6A05A809" w14:textId="77777777" w:rsidR="00251FCE" w:rsidRPr="00EB4E4F" w:rsidRDefault="00251FCE" w:rsidP="00EB4E4F">
            <w:pPr>
              <w:jc w:val="both"/>
              <w:rPr>
                <w:rFonts w:cs="Arial"/>
                <w:sz w:val="22"/>
                <w:szCs w:val="22"/>
                <w:lang w:eastAsia="es-CO"/>
              </w:rPr>
            </w:pPr>
          </w:p>
        </w:tc>
      </w:tr>
      <w:tr w:rsidR="00DF60FD" w:rsidRPr="00EB4E4F" w14:paraId="33447AB9" w14:textId="77777777" w:rsidTr="1DC7A7D1">
        <w:trPr>
          <w:trHeight w:val="66"/>
        </w:trPr>
        <w:tc>
          <w:tcPr>
            <w:tcW w:w="10773" w:type="dxa"/>
            <w:gridSpan w:val="3"/>
            <w:tcBorders>
              <w:top w:val="single" w:sz="4" w:space="0" w:color="auto"/>
              <w:bottom w:val="single" w:sz="4" w:space="0" w:color="auto"/>
            </w:tcBorders>
            <w:shd w:val="clear" w:color="auto" w:fill="FFFFFF" w:themeFill="background1"/>
            <w:vAlign w:val="center"/>
          </w:tcPr>
          <w:p w14:paraId="75F58902" w14:textId="77777777" w:rsidR="00642A3E" w:rsidRPr="00EB4E4F" w:rsidRDefault="00DF60FD" w:rsidP="00EB4E4F">
            <w:pPr>
              <w:numPr>
                <w:ilvl w:val="0"/>
                <w:numId w:val="22"/>
              </w:numPr>
              <w:jc w:val="both"/>
              <w:rPr>
                <w:rFonts w:cs="Arial"/>
                <w:b/>
                <w:color w:val="000000"/>
                <w:sz w:val="22"/>
                <w:szCs w:val="22"/>
              </w:rPr>
            </w:pPr>
            <w:r w:rsidRPr="00EB4E4F">
              <w:rPr>
                <w:rFonts w:cs="Arial"/>
                <w:b/>
                <w:color w:val="000000"/>
                <w:sz w:val="22"/>
                <w:szCs w:val="22"/>
              </w:rPr>
              <w:t>AMBITO DE APLICACIÓN Y SUJETO</w:t>
            </w:r>
            <w:r w:rsidR="00795C6B" w:rsidRPr="00EB4E4F">
              <w:rPr>
                <w:rFonts w:cs="Arial"/>
                <w:b/>
                <w:color w:val="000000"/>
                <w:sz w:val="22"/>
                <w:szCs w:val="22"/>
              </w:rPr>
              <w:t>S</w:t>
            </w:r>
            <w:r w:rsidRPr="00EB4E4F">
              <w:rPr>
                <w:rFonts w:cs="Arial"/>
                <w:b/>
                <w:color w:val="000000"/>
                <w:sz w:val="22"/>
                <w:szCs w:val="22"/>
              </w:rPr>
              <w:t xml:space="preserve"> A QUIEN</w:t>
            </w:r>
            <w:r w:rsidR="00795C6B" w:rsidRPr="00EB4E4F">
              <w:rPr>
                <w:rFonts w:cs="Arial"/>
                <w:b/>
                <w:color w:val="000000"/>
                <w:sz w:val="22"/>
                <w:szCs w:val="22"/>
              </w:rPr>
              <w:t>ES</w:t>
            </w:r>
            <w:r w:rsidRPr="00EB4E4F">
              <w:rPr>
                <w:rFonts w:cs="Arial"/>
                <w:b/>
                <w:color w:val="000000"/>
                <w:sz w:val="22"/>
                <w:szCs w:val="22"/>
              </w:rPr>
              <w:t xml:space="preserve"> VA DIRIGIDO</w:t>
            </w:r>
          </w:p>
          <w:p w14:paraId="5A39BBE3" w14:textId="77777777" w:rsidR="00642A3E" w:rsidRPr="00EB4E4F" w:rsidRDefault="00642A3E" w:rsidP="00EB4E4F">
            <w:pPr>
              <w:ind w:left="494"/>
              <w:jc w:val="both"/>
              <w:rPr>
                <w:rFonts w:cs="Arial"/>
                <w:b/>
                <w:color w:val="000000"/>
                <w:sz w:val="22"/>
                <w:szCs w:val="22"/>
              </w:rPr>
            </w:pPr>
          </w:p>
          <w:p w14:paraId="585AF672" w14:textId="778A95B7" w:rsidR="00795C6B" w:rsidRPr="00EB4E4F" w:rsidRDefault="15AE1D27" w:rsidP="00EB4E4F">
            <w:pPr>
              <w:pStyle w:val="Default"/>
              <w:ind w:left="360" w:right="354"/>
              <w:jc w:val="both"/>
              <w:rPr>
                <w:sz w:val="22"/>
                <w:szCs w:val="22"/>
              </w:rPr>
            </w:pPr>
            <w:r w:rsidRPr="00EB4E4F">
              <w:rPr>
                <w:sz w:val="22"/>
                <w:szCs w:val="22"/>
              </w:rPr>
              <w:t>El ámbito de aplicación</w:t>
            </w:r>
            <w:r w:rsidR="344E4AF1" w:rsidRPr="00EB4E4F">
              <w:rPr>
                <w:sz w:val="22"/>
                <w:szCs w:val="22"/>
              </w:rPr>
              <w:t xml:space="preserve"> del Decreto “</w:t>
            </w:r>
            <w:r w:rsidR="002C00A3" w:rsidRPr="002C00A3">
              <w:rPr>
                <w:sz w:val="22"/>
                <w:szCs w:val="22"/>
              </w:rPr>
              <w:t>Por el cual se adopta la política pública de gestión y administración de los cementerios para el manejo adecuado de cuerpos no identificados y cuerpos identificados no entregados</w:t>
            </w:r>
            <w:r w:rsidR="344E4AF1" w:rsidRPr="00EB4E4F">
              <w:rPr>
                <w:sz w:val="22"/>
                <w:szCs w:val="22"/>
              </w:rPr>
              <w:t>”, se aplica</w:t>
            </w:r>
            <w:r w:rsidR="067E8ACB" w:rsidRPr="00EB4E4F">
              <w:rPr>
                <w:sz w:val="22"/>
                <w:szCs w:val="22"/>
              </w:rPr>
              <w:t xml:space="preserve"> en el sector interior </w:t>
            </w:r>
            <w:r w:rsidR="002C00A3">
              <w:rPr>
                <w:sz w:val="22"/>
                <w:szCs w:val="22"/>
              </w:rPr>
              <w:t xml:space="preserve"> ya que se le ordena al Ministerio del Interior</w:t>
            </w:r>
            <w:r w:rsidR="067E8ACB" w:rsidRPr="00EB4E4F">
              <w:rPr>
                <w:sz w:val="22"/>
                <w:szCs w:val="22"/>
              </w:rPr>
              <w:t xml:space="preserve"> formular esta política pública, no obstante de esta participan los integrantes de la </w:t>
            </w:r>
            <w:r w:rsidR="44F1645D" w:rsidRPr="00EB4E4F">
              <w:rPr>
                <w:sz w:val="22"/>
                <w:szCs w:val="22"/>
              </w:rPr>
              <w:t>M</w:t>
            </w:r>
            <w:r w:rsidR="067E8ACB" w:rsidRPr="00EB4E4F">
              <w:rPr>
                <w:sz w:val="22"/>
                <w:szCs w:val="22"/>
              </w:rPr>
              <w:t xml:space="preserve">esa interinstitucional y se dirige tanto a las entidades del gobierno nacional con competencia en la intervención para </w:t>
            </w:r>
            <w:r w:rsidR="002C00A3">
              <w:rPr>
                <w:sz w:val="22"/>
                <w:szCs w:val="22"/>
              </w:rPr>
              <w:t xml:space="preserve">la gestión y administración </w:t>
            </w:r>
            <w:r w:rsidR="067E8ACB" w:rsidRPr="00EB4E4F">
              <w:rPr>
                <w:sz w:val="22"/>
                <w:szCs w:val="22"/>
              </w:rPr>
              <w:t xml:space="preserve">de cuerpos no identificados </w:t>
            </w:r>
            <w:r w:rsidR="0F9B2157" w:rsidRPr="00EB4E4F">
              <w:rPr>
                <w:sz w:val="22"/>
                <w:szCs w:val="22"/>
              </w:rPr>
              <w:t xml:space="preserve">e identificados no reclamados </w:t>
            </w:r>
            <w:r w:rsidR="067E8ACB" w:rsidRPr="00EB4E4F">
              <w:rPr>
                <w:sz w:val="22"/>
                <w:szCs w:val="22"/>
              </w:rPr>
              <w:t>como a las administraciones locales para el seguimiento de las funciones a ellos conferidas en materia de administración de cementerios</w:t>
            </w:r>
            <w:r w:rsidR="0F9B2157" w:rsidRPr="00EB4E4F">
              <w:rPr>
                <w:sz w:val="22"/>
                <w:szCs w:val="22"/>
              </w:rPr>
              <w:t xml:space="preserve"> en concordancia con el Decreto 303 de 2015</w:t>
            </w:r>
            <w:r w:rsidR="067E8ACB" w:rsidRPr="00EB4E4F">
              <w:rPr>
                <w:sz w:val="22"/>
                <w:szCs w:val="22"/>
              </w:rPr>
              <w:t xml:space="preserve">. </w:t>
            </w:r>
            <w:r w:rsidR="397A966F" w:rsidRPr="00EB4E4F">
              <w:rPr>
                <w:sz w:val="22"/>
                <w:szCs w:val="22"/>
              </w:rPr>
              <w:t>También involucra disposiciones dirigidas a los actores privados que administran cementerios en todo el territorio nacional según el Decreto 303 de 2015 que lo habilita.</w:t>
            </w:r>
            <w:r w:rsidR="0F9B2157" w:rsidRPr="00EB4E4F">
              <w:rPr>
                <w:sz w:val="22"/>
                <w:szCs w:val="22"/>
              </w:rPr>
              <w:t xml:space="preserve"> </w:t>
            </w:r>
          </w:p>
          <w:p w14:paraId="41C8F396" w14:textId="77777777" w:rsidR="00F9767B" w:rsidRPr="00EB4E4F" w:rsidRDefault="00F9767B" w:rsidP="00EB4E4F">
            <w:pPr>
              <w:pStyle w:val="Default"/>
              <w:ind w:left="360" w:right="354"/>
              <w:jc w:val="both"/>
              <w:rPr>
                <w:b/>
                <w:sz w:val="22"/>
                <w:szCs w:val="22"/>
              </w:rPr>
            </w:pPr>
          </w:p>
        </w:tc>
      </w:tr>
      <w:tr w:rsidR="002A6D8B" w:rsidRPr="00EB4E4F" w14:paraId="431FEA1F" w14:textId="77777777" w:rsidTr="1DC7A7D1">
        <w:trPr>
          <w:trHeight w:val="278"/>
        </w:trPr>
        <w:tc>
          <w:tcPr>
            <w:tcW w:w="10773" w:type="dxa"/>
            <w:gridSpan w:val="3"/>
            <w:tcBorders>
              <w:bottom w:val="single" w:sz="4" w:space="0" w:color="auto"/>
            </w:tcBorders>
            <w:shd w:val="clear" w:color="auto" w:fill="FFFFFF" w:themeFill="background1"/>
            <w:vAlign w:val="center"/>
          </w:tcPr>
          <w:p w14:paraId="1682656E" w14:textId="77777777" w:rsidR="007D3E3C" w:rsidRPr="00EB4E4F" w:rsidRDefault="002A6D8B" w:rsidP="00EB4E4F">
            <w:pPr>
              <w:numPr>
                <w:ilvl w:val="0"/>
                <w:numId w:val="22"/>
              </w:numPr>
              <w:jc w:val="both"/>
              <w:rPr>
                <w:rFonts w:eastAsia="Arial Unicode MS" w:cs="Arial"/>
                <w:b/>
                <w:bCs/>
                <w:sz w:val="22"/>
                <w:szCs w:val="22"/>
                <w:lang w:val="es-CO" w:eastAsia="es-CO"/>
              </w:rPr>
            </w:pPr>
            <w:r w:rsidRPr="00EB4E4F">
              <w:rPr>
                <w:rFonts w:eastAsia="Arial Unicode MS" w:cs="Arial"/>
                <w:b/>
                <w:bCs/>
                <w:sz w:val="22"/>
                <w:szCs w:val="22"/>
                <w:lang w:val="es-CO" w:eastAsia="es-CO"/>
              </w:rPr>
              <w:lastRenderedPageBreak/>
              <w:t>VIABILIDAD JURÍDICA</w:t>
            </w:r>
          </w:p>
          <w:p w14:paraId="72A3D3EC" w14:textId="77777777" w:rsidR="007D3E3C" w:rsidRPr="00EB4E4F" w:rsidRDefault="007D3E3C" w:rsidP="00EB4E4F">
            <w:pPr>
              <w:ind w:left="360"/>
              <w:jc w:val="both"/>
              <w:rPr>
                <w:rFonts w:eastAsia="Arial Unicode MS" w:cs="Arial"/>
                <w:b/>
                <w:bCs/>
                <w:sz w:val="22"/>
                <w:szCs w:val="22"/>
                <w:lang w:val="es-CO" w:eastAsia="es-CO"/>
              </w:rPr>
            </w:pPr>
          </w:p>
          <w:p w14:paraId="46C72208" w14:textId="415EB9A1" w:rsidR="00C1389B" w:rsidRPr="00EB4E4F" w:rsidRDefault="6593FA42" w:rsidP="00EB4E4F">
            <w:pPr>
              <w:jc w:val="both"/>
              <w:rPr>
                <w:rFonts w:eastAsia="Arial Unicode MS" w:cs="Arial"/>
                <w:b/>
                <w:bCs/>
                <w:sz w:val="22"/>
                <w:szCs w:val="22"/>
                <w:lang w:val="es-CO" w:eastAsia="es-CO"/>
              </w:rPr>
            </w:pPr>
            <w:r w:rsidRPr="00EB4E4F">
              <w:rPr>
                <w:rFonts w:eastAsia="Arial Unicode MS" w:cs="Arial"/>
                <w:b/>
                <w:bCs/>
                <w:sz w:val="22"/>
                <w:szCs w:val="22"/>
                <w:lang w:val="es-CO" w:eastAsia="es-CO"/>
              </w:rPr>
              <w:t xml:space="preserve">3.1. </w:t>
            </w:r>
            <w:r w:rsidR="3DEFDF51" w:rsidRPr="00EB4E4F">
              <w:rPr>
                <w:rFonts w:eastAsia="Arial Unicode MS" w:cs="Arial"/>
                <w:b/>
                <w:bCs/>
                <w:sz w:val="22"/>
                <w:szCs w:val="22"/>
                <w:lang w:val="es-CO" w:eastAsia="es-CO"/>
              </w:rPr>
              <w:t>Análisis de las normas que otorgan la competencia para la expedición del proyecto normativo.</w:t>
            </w:r>
          </w:p>
          <w:p w14:paraId="0D0B940D" w14:textId="77777777" w:rsidR="002A6D8B" w:rsidRPr="00EB4E4F" w:rsidRDefault="002A6D8B" w:rsidP="00EB4E4F">
            <w:pPr>
              <w:jc w:val="both"/>
              <w:rPr>
                <w:rFonts w:eastAsia="Arial Unicode MS" w:cs="Arial"/>
                <w:sz w:val="22"/>
                <w:szCs w:val="22"/>
                <w:lang w:val="es-CO" w:eastAsia="es-CO"/>
              </w:rPr>
            </w:pPr>
          </w:p>
          <w:p w14:paraId="237B8CE7" w14:textId="77777777" w:rsidR="00094E67" w:rsidRPr="00EB4E4F" w:rsidRDefault="00094E67" w:rsidP="00EB4E4F">
            <w:pPr>
              <w:pStyle w:val="Default"/>
              <w:ind w:left="426" w:right="474"/>
              <w:jc w:val="both"/>
              <w:rPr>
                <w:iCs/>
                <w:sz w:val="22"/>
                <w:szCs w:val="22"/>
              </w:rPr>
            </w:pPr>
            <w:r w:rsidRPr="00EB4E4F">
              <w:rPr>
                <w:iCs/>
                <w:sz w:val="22"/>
                <w:szCs w:val="22"/>
              </w:rPr>
              <w:t>El señor presidente de la República es competente para la expedición del acto administrativo teniendo en cuenta las facultades concedidas en las siguientes disposiciones:</w:t>
            </w:r>
          </w:p>
          <w:p w14:paraId="29D6B04F" w14:textId="77777777" w:rsidR="00094E67" w:rsidRPr="00EB4E4F" w:rsidRDefault="00094E67" w:rsidP="00EB4E4F">
            <w:pPr>
              <w:pStyle w:val="Default"/>
              <w:ind w:left="426" w:right="474"/>
              <w:jc w:val="both"/>
              <w:rPr>
                <w:iCs/>
                <w:sz w:val="22"/>
                <w:szCs w:val="22"/>
              </w:rPr>
            </w:pPr>
            <w:r w:rsidRPr="00EB4E4F">
              <w:rPr>
                <w:iCs/>
                <w:sz w:val="22"/>
                <w:szCs w:val="22"/>
              </w:rPr>
              <w:t xml:space="preserve"> </w:t>
            </w:r>
          </w:p>
          <w:p w14:paraId="4AA7C197" w14:textId="77777777" w:rsidR="00F728E7" w:rsidRPr="00EB4E4F" w:rsidRDefault="00094E67" w:rsidP="00EB4E4F">
            <w:pPr>
              <w:pStyle w:val="Default"/>
              <w:ind w:left="426" w:right="474"/>
              <w:jc w:val="both"/>
              <w:rPr>
                <w:iCs/>
                <w:color w:val="auto"/>
                <w:sz w:val="22"/>
                <w:szCs w:val="22"/>
              </w:rPr>
            </w:pPr>
            <w:r w:rsidRPr="00EB4E4F">
              <w:rPr>
                <w:iCs/>
                <w:color w:val="auto"/>
                <w:sz w:val="22"/>
                <w:szCs w:val="22"/>
              </w:rPr>
              <w:t>El artículo 189 de la Constitución Política señala que corresponde al presidente de la República como Jefe de Estado, Jefe de Gobierno y Suprema Autoridad Administrativa:</w:t>
            </w:r>
            <w:r w:rsidR="00F728E7" w:rsidRPr="00EB4E4F">
              <w:rPr>
                <w:iCs/>
                <w:color w:val="auto"/>
                <w:sz w:val="22"/>
                <w:szCs w:val="22"/>
              </w:rPr>
              <w:t xml:space="preserve"> “11. Ejercer la potestad reglamentaria, mediante la expedición de los decretos, resoluciones y órdenes necesarios para la cumplida ejecución de las leyes.”</w:t>
            </w:r>
          </w:p>
          <w:p w14:paraId="0E27B00A" w14:textId="77777777" w:rsidR="00444CBE" w:rsidRPr="00EB4E4F" w:rsidRDefault="00444CBE" w:rsidP="00EB4E4F">
            <w:pPr>
              <w:pStyle w:val="Default"/>
              <w:ind w:right="474"/>
              <w:jc w:val="both"/>
              <w:rPr>
                <w:iCs/>
                <w:color w:val="auto"/>
                <w:sz w:val="22"/>
                <w:szCs w:val="22"/>
              </w:rPr>
            </w:pPr>
          </w:p>
          <w:p w14:paraId="72773490" w14:textId="73B3959F" w:rsidR="00444CBE" w:rsidRPr="00EB4E4F" w:rsidRDefault="00444CBE" w:rsidP="1DC7A7D1">
            <w:pPr>
              <w:pStyle w:val="Default"/>
              <w:ind w:left="426" w:right="474"/>
              <w:jc w:val="both"/>
              <w:rPr>
                <w:color w:val="auto"/>
                <w:sz w:val="22"/>
                <w:szCs w:val="22"/>
              </w:rPr>
            </w:pPr>
            <w:r w:rsidRPr="1DC7A7D1">
              <w:rPr>
                <w:color w:val="auto"/>
                <w:sz w:val="22"/>
                <w:szCs w:val="22"/>
              </w:rPr>
              <w:t>Asimismo, el Artículo 208 de la Constitución Política determina la facultad de los ministerios para la expedición de políticas públicas en el marco de sus competencias, a saber</w:t>
            </w:r>
            <w:r w:rsidR="460330CE" w:rsidRPr="1DC7A7D1">
              <w:rPr>
                <w:color w:val="auto"/>
                <w:sz w:val="22"/>
                <w:szCs w:val="22"/>
              </w:rPr>
              <w:t>: “</w:t>
            </w:r>
            <w:r w:rsidRPr="1DC7A7D1">
              <w:rPr>
                <w:i/>
                <w:iCs/>
                <w:color w:val="auto"/>
                <w:sz w:val="22"/>
                <w:szCs w:val="22"/>
              </w:rPr>
              <w:t xml:space="preserve">Los ministros y los directores de departamentos administrativos son los jefes de la administración en su respectiva dependencia. Bajo la dirección del </w:t>
            </w:r>
            <w:r w:rsidR="0ED1A2E9" w:rsidRPr="1DC7A7D1">
              <w:rPr>
                <w:i/>
                <w:iCs/>
                <w:color w:val="auto"/>
                <w:sz w:val="22"/>
                <w:szCs w:val="22"/>
              </w:rPr>
              <w:t>presidente</w:t>
            </w:r>
            <w:r w:rsidRPr="1DC7A7D1">
              <w:rPr>
                <w:i/>
                <w:iCs/>
                <w:color w:val="auto"/>
                <w:sz w:val="22"/>
                <w:szCs w:val="22"/>
              </w:rPr>
              <w:t xml:space="preserve"> de la República, les corresponde formular las políticas atinentes a su despacho, dirigir la actividad administrativa y ejecutar la ley (…)”.</w:t>
            </w:r>
          </w:p>
          <w:p w14:paraId="60061E4C" w14:textId="77777777" w:rsidR="00444CBE" w:rsidRPr="00EB4E4F" w:rsidRDefault="00444CBE" w:rsidP="00EB4E4F">
            <w:pPr>
              <w:pStyle w:val="Default"/>
              <w:ind w:left="426" w:right="474"/>
              <w:jc w:val="both"/>
              <w:rPr>
                <w:iCs/>
                <w:color w:val="auto"/>
                <w:sz w:val="22"/>
                <w:szCs w:val="22"/>
              </w:rPr>
            </w:pPr>
          </w:p>
          <w:p w14:paraId="61E49230" w14:textId="3CE06142" w:rsidR="00E57E24" w:rsidRPr="00EB4E4F" w:rsidRDefault="00E57E24" w:rsidP="1DC7A7D1">
            <w:pPr>
              <w:pStyle w:val="Default"/>
              <w:ind w:left="426" w:right="474"/>
              <w:jc w:val="both"/>
              <w:rPr>
                <w:color w:val="auto"/>
                <w:sz w:val="22"/>
                <w:szCs w:val="22"/>
              </w:rPr>
            </w:pPr>
            <w:r w:rsidRPr="1DC7A7D1">
              <w:rPr>
                <w:color w:val="auto"/>
                <w:sz w:val="22"/>
                <w:szCs w:val="22"/>
              </w:rPr>
              <w:t xml:space="preserve">En particular para el sector interior, se tiene que, de acuerdo con el </w:t>
            </w:r>
            <w:r w:rsidR="00C614D2" w:rsidRPr="1DC7A7D1">
              <w:rPr>
                <w:color w:val="auto"/>
                <w:sz w:val="22"/>
                <w:szCs w:val="22"/>
              </w:rPr>
              <w:t>artículo</w:t>
            </w:r>
            <w:r w:rsidR="2D3BA0BA" w:rsidRPr="1DC7A7D1">
              <w:rPr>
                <w:color w:val="auto"/>
                <w:sz w:val="22"/>
                <w:szCs w:val="22"/>
              </w:rPr>
              <w:t xml:space="preserve"> 15 del </w:t>
            </w:r>
            <w:r w:rsidR="00F728E7" w:rsidRPr="1DC7A7D1">
              <w:rPr>
                <w:color w:val="auto"/>
                <w:sz w:val="22"/>
                <w:szCs w:val="22"/>
              </w:rPr>
              <w:t xml:space="preserve">Decreto 2893 de 2011, </w:t>
            </w:r>
            <w:r w:rsidR="55CC154E" w:rsidRPr="1DC7A7D1">
              <w:rPr>
                <w:color w:val="auto"/>
                <w:sz w:val="22"/>
                <w:szCs w:val="22"/>
              </w:rPr>
              <w:t xml:space="preserve">modificado por el </w:t>
            </w:r>
            <w:r w:rsidR="00C614D2" w:rsidRPr="1DC7A7D1">
              <w:rPr>
                <w:color w:val="auto"/>
                <w:sz w:val="22"/>
                <w:szCs w:val="22"/>
              </w:rPr>
              <w:t>artículo</w:t>
            </w:r>
            <w:r w:rsidR="55CC154E" w:rsidRPr="1DC7A7D1">
              <w:rPr>
                <w:color w:val="auto"/>
                <w:sz w:val="22"/>
                <w:szCs w:val="22"/>
              </w:rPr>
              <w:t xml:space="preserve"> 02 del </w:t>
            </w:r>
            <w:r w:rsidR="592481E0" w:rsidRPr="1DC7A7D1">
              <w:rPr>
                <w:color w:val="auto"/>
                <w:sz w:val="22"/>
                <w:szCs w:val="22"/>
              </w:rPr>
              <w:t>Decreto</w:t>
            </w:r>
            <w:r w:rsidR="1A6DA669" w:rsidRPr="1DC7A7D1">
              <w:rPr>
                <w:color w:val="auto"/>
                <w:sz w:val="22"/>
                <w:szCs w:val="22"/>
              </w:rPr>
              <w:t xml:space="preserve"> 2340 de 2015 y a su vez modificado por el </w:t>
            </w:r>
            <w:r w:rsidR="00C614D2" w:rsidRPr="1DC7A7D1">
              <w:rPr>
                <w:color w:val="auto"/>
                <w:sz w:val="22"/>
                <w:szCs w:val="22"/>
              </w:rPr>
              <w:t>artículo</w:t>
            </w:r>
            <w:r w:rsidR="1A6DA669" w:rsidRPr="1DC7A7D1">
              <w:rPr>
                <w:color w:val="auto"/>
                <w:sz w:val="22"/>
                <w:szCs w:val="22"/>
              </w:rPr>
              <w:t xml:space="preserve"> 10 del Decreto 0714 de 2024 </w:t>
            </w:r>
            <w:r w:rsidRPr="1DC7A7D1">
              <w:rPr>
                <w:color w:val="auto"/>
                <w:sz w:val="22"/>
                <w:szCs w:val="22"/>
              </w:rPr>
              <w:t xml:space="preserve">son funciones del Ministerio del Interior el: </w:t>
            </w:r>
          </w:p>
          <w:p w14:paraId="44EAFD9C" w14:textId="77777777" w:rsidR="00E57E24" w:rsidRPr="00EB4E4F" w:rsidRDefault="00E57E24" w:rsidP="00FF2596">
            <w:pPr>
              <w:pStyle w:val="Default"/>
              <w:spacing w:line="259" w:lineRule="auto"/>
              <w:ind w:right="474"/>
              <w:jc w:val="both"/>
              <w:rPr>
                <w:sz w:val="22"/>
                <w:szCs w:val="22"/>
              </w:rPr>
            </w:pPr>
          </w:p>
          <w:p w14:paraId="2EBAB7C0" w14:textId="23D4C913" w:rsidR="00E57E24" w:rsidRPr="00EB4E4F" w:rsidRDefault="47380D31" w:rsidP="00FF2596">
            <w:pPr>
              <w:pStyle w:val="Default"/>
              <w:numPr>
                <w:ilvl w:val="0"/>
                <w:numId w:val="1"/>
              </w:numPr>
              <w:spacing w:line="259" w:lineRule="auto"/>
              <w:ind w:right="474"/>
              <w:jc w:val="both"/>
              <w:rPr>
                <w:sz w:val="22"/>
                <w:szCs w:val="22"/>
                <w:lang w:val="es-ES"/>
              </w:rPr>
            </w:pPr>
            <w:r w:rsidRPr="00FF2596">
              <w:rPr>
                <w:color w:val="000000" w:themeColor="text1"/>
                <w:sz w:val="22"/>
                <w:szCs w:val="22"/>
                <w:lang w:val="es-ES"/>
              </w:rPr>
              <w:t>Establecer los lineamientos generales para el diseño e implementación de mecanismos de prevención y protección dirigidos a las personas que se encuentren en situación de riesgo extraordinario o extremo contra su vida, integridad, libertad y seguridad, por causas relacionadas con la violencia política o ideológica, o con el conflicto armado interno.</w:t>
            </w:r>
          </w:p>
          <w:p w14:paraId="70ED11F9" w14:textId="77B1C9AB" w:rsidR="00E57E24" w:rsidRPr="00C614D2" w:rsidRDefault="00E57E24" w:rsidP="00FF2596">
            <w:pPr>
              <w:pStyle w:val="Default"/>
              <w:spacing w:line="259" w:lineRule="auto"/>
              <w:ind w:left="786" w:right="474" w:hanging="360"/>
              <w:jc w:val="both"/>
            </w:pPr>
          </w:p>
          <w:p w14:paraId="3664CFB0" w14:textId="3683D53E" w:rsidR="00E57E24" w:rsidRPr="00C614D2" w:rsidRDefault="47380D31" w:rsidP="00FF2596">
            <w:pPr>
              <w:pStyle w:val="Default"/>
              <w:numPr>
                <w:ilvl w:val="0"/>
                <w:numId w:val="1"/>
              </w:numPr>
              <w:spacing w:line="259" w:lineRule="auto"/>
              <w:ind w:left="786" w:right="474"/>
              <w:jc w:val="both"/>
            </w:pPr>
            <w:r w:rsidRPr="00FF2596">
              <w:rPr>
                <w:sz w:val="22"/>
                <w:szCs w:val="22"/>
              </w:rPr>
              <w:t>Asesorar técnicamente a las entidades territoriales en la formulación de políticas de Derechos Humanos y Derecho Internacional Humanitario y en la incorporación de un enfoque de derechos en los diferentes instrumentos de planeación y sus estrategias de implementación en el ámbito municipal y departamental.</w:t>
            </w:r>
            <w:r w:rsidRPr="1DC7A7D1">
              <w:rPr>
                <w:sz w:val="22"/>
                <w:szCs w:val="22"/>
                <w:lang w:val="es-ES"/>
              </w:rPr>
              <w:t xml:space="preserve"> </w:t>
            </w:r>
          </w:p>
          <w:p w14:paraId="4975CFB0" w14:textId="387B779C" w:rsidR="00CC76FD" w:rsidRPr="00EB4E4F" w:rsidRDefault="5E1A12D9" w:rsidP="00EB4E4F">
            <w:pPr>
              <w:pStyle w:val="Default"/>
              <w:ind w:right="474"/>
              <w:jc w:val="both"/>
              <w:rPr>
                <w:b/>
                <w:bCs/>
                <w:sz w:val="22"/>
                <w:szCs w:val="22"/>
              </w:rPr>
            </w:pPr>
            <w:r w:rsidRPr="00EB4E4F">
              <w:rPr>
                <w:b/>
                <w:bCs/>
                <w:sz w:val="22"/>
                <w:szCs w:val="22"/>
              </w:rPr>
              <w:t xml:space="preserve">3.2. </w:t>
            </w:r>
            <w:r w:rsidR="788AF2F6" w:rsidRPr="00EB4E4F">
              <w:rPr>
                <w:b/>
                <w:bCs/>
                <w:sz w:val="22"/>
                <w:szCs w:val="22"/>
              </w:rPr>
              <w:t>Vigencia de la ley o norma reglamentada o desarrollada.</w:t>
            </w:r>
          </w:p>
          <w:p w14:paraId="3DEEC669" w14:textId="77777777" w:rsidR="00444CBE" w:rsidRPr="00EB4E4F" w:rsidRDefault="00444CBE" w:rsidP="00EB4E4F">
            <w:pPr>
              <w:pStyle w:val="Default"/>
              <w:ind w:right="474"/>
              <w:jc w:val="both"/>
              <w:rPr>
                <w:iCs/>
                <w:color w:val="auto"/>
                <w:sz w:val="22"/>
                <w:szCs w:val="22"/>
                <w:lang w:val="es-ES" w:eastAsia="es-ES"/>
              </w:rPr>
            </w:pPr>
          </w:p>
          <w:p w14:paraId="0A1E27AB" w14:textId="77777777" w:rsidR="00E57E24" w:rsidRPr="00EB4E4F" w:rsidRDefault="00E57E24" w:rsidP="00EB4E4F">
            <w:pPr>
              <w:pStyle w:val="Default"/>
              <w:ind w:left="426" w:right="474"/>
              <w:jc w:val="both"/>
              <w:rPr>
                <w:iCs/>
                <w:color w:val="auto"/>
                <w:sz w:val="22"/>
                <w:szCs w:val="22"/>
                <w:lang w:val="es-ES" w:eastAsia="es-ES"/>
              </w:rPr>
            </w:pPr>
            <w:r w:rsidRPr="00EB4E4F">
              <w:rPr>
                <w:iCs/>
                <w:color w:val="auto"/>
                <w:sz w:val="22"/>
                <w:szCs w:val="22"/>
                <w:lang w:val="es-ES" w:eastAsia="es-ES"/>
              </w:rPr>
              <w:t xml:space="preserve">El presente </w:t>
            </w:r>
            <w:r w:rsidR="00AB1CFA" w:rsidRPr="00EB4E4F">
              <w:rPr>
                <w:iCs/>
                <w:color w:val="auto"/>
                <w:sz w:val="22"/>
                <w:szCs w:val="22"/>
                <w:lang w:val="es-ES" w:eastAsia="es-ES"/>
              </w:rPr>
              <w:t>d</w:t>
            </w:r>
            <w:r w:rsidRPr="00EB4E4F">
              <w:rPr>
                <w:iCs/>
                <w:color w:val="auto"/>
                <w:sz w:val="22"/>
                <w:szCs w:val="22"/>
                <w:lang w:val="es-ES" w:eastAsia="es-ES"/>
              </w:rPr>
              <w:t xml:space="preserve">ecreto no desarrolla una ley, adopta una nueva política pública. </w:t>
            </w:r>
          </w:p>
          <w:p w14:paraId="3656B9AB" w14:textId="77777777" w:rsidR="00E57E24" w:rsidRPr="00EB4E4F" w:rsidRDefault="00E57E24" w:rsidP="00EB4E4F">
            <w:pPr>
              <w:pStyle w:val="Default"/>
              <w:ind w:left="426" w:right="474"/>
              <w:jc w:val="both"/>
              <w:rPr>
                <w:iCs/>
                <w:sz w:val="22"/>
                <w:szCs w:val="22"/>
              </w:rPr>
            </w:pPr>
          </w:p>
          <w:p w14:paraId="6897E4A6" w14:textId="26374F0A" w:rsidR="00094E67" w:rsidRPr="00EB4E4F" w:rsidRDefault="4066BF27" w:rsidP="00EB4E4F">
            <w:pPr>
              <w:pStyle w:val="Default"/>
              <w:ind w:right="474"/>
              <w:jc w:val="both"/>
              <w:rPr>
                <w:b/>
                <w:bCs/>
                <w:sz w:val="22"/>
                <w:szCs w:val="22"/>
              </w:rPr>
            </w:pPr>
            <w:r w:rsidRPr="00EB4E4F">
              <w:rPr>
                <w:b/>
                <w:bCs/>
                <w:sz w:val="22"/>
                <w:szCs w:val="22"/>
              </w:rPr>
              <w:t xml:space="preserve">3.3. </w:t>
            </w:r>
            <w:r w:rsidR="4B8CC2C5" w:rsidRPr="00EB4E4F">
              <w:rPr>
                <w:b/>
                <w:bCs/>
                <w:sz w:val="22"/>
                <w:szCs w:val="22"/>
              </w:rPr>
              <w:t xml:space="preserve">Disposiciones derogadas, subrogadas, modificadas, adicionadas o sustituidas </w:t>
            </w:r>
          </w:p>
          <w:p w14:paraId="45FB0818" w14:textId="77777777" w:rsidR="00094E67" w:rsidRPr="00EB4E4F" w:rsidRDefault="00094E67" w:rsidP="00EB4E4F">
            <w:pPr>
              <w:pStyle w:val="Default"/>
              <w:ind w:left="426" w:right="474"/>
              <w:jc w:val="both"/>
              <w:rPr>
                <w:iCs/>
                <w:sz w:val="22"/>
                <w:szCs w:val="22"/>
              </w:rPr>
            </w:pPr>
          </w:p>
          <w:p w14:paraId="2D7571DF" w14:textId="77777777" w:rsidR="00094E67" w:rsidRPr="00EB4E4F" w:rsidRDefault="00444CBE" w:rsidP="00EB4E4F">
            <w:pPr>
              <w:pStyle w:val="Default"/>
              <w:ind w:left="426" w:right="474"/>
              <w:jc w:val="both"/>
              <w:rPr>
                <w:iCs/>
                <w:sz w:val="22"/>
                <w:szCs w:val="22"/>
              </w:rPr>
            </w:pPr>
            <w:r w:rsidRPr="00EB4E4F">
              <w:rPr>
                <w:iCs/>
                <w:sz w:val="22"/>
                <w:szCs w:val="22"/>
              </w:rPr>
              <w:t xml:space="preserve">El presente decreto no modifica, deroga o subroga normas vigentes. </w:t>
            </w:r>
          </w:p>
          <w:p w14:paraId="049F31CB" w14:textId="77777777" w:rsidR="00CB4168" w:rsidRPr="00EB4E4F" w:rsidRDefault="00CB4168" w:rsidP="00EB4E4F">
            <w:pPr>
              <w:jc w:val="both"/>
              <w:rPr>
                <w:rFonts w:eastAsia="Arial Unicode MS" w:cs="Arial"/>
                <w:color w:val="333333"/>
                <w:sz w:val="22"/>
                <w:szCs w:val="22"/>
                <w:lang w:val="es-CO" w:eastAsia="es-CO"/>
              </w:rPr>
            </w:pPr>
          </w:p>
          <w:p w14:paraId="53128261" w14:textId="77777777" w:rsidR="002A6D8B" w:rsidRPr="00EB4E4F" w:rsidRDefault="002A6D8B" w:rsidP="00EB4E4F">
            <w:pPr>
              <w:jc w:val="both"/>
              <w:rPr>
                <w:rFonts w:eastAsia="Arial Unicode MS" w:cs="Arial"/>
                <w:color w:val="333333"/>
                <w:sz w:val="22"/>
                <w:szCs w:val="22"/>
                <w:lang w:val="es-CO" w:eastAsia="es-CO"/>
              </w:rPr>
            </w:pPr>
          </w:p>
        </w:tc>
      </w:tr>
      <w:tr w:rsidR="002A6D8B" w:rsidRPr="00EB4E4F" w14:paraId="594788A8" w14:textId="77777777" w:rsidTr="1DC7A7D1">
        <w:trPr>
          <w:trHeight w:val="925"/>
        </w:trPr>
        <w:tc>
          <w:tcPr>
            <w:tcW w:w="1077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86C05" w14:textId="77777777" w:rsidR="002A6D8B" w:rsidRPr="00EB4E4F" w:rsidRDefault="002A6D8B" w:rsidP="00EB4E4F">
            <w:pPr>
              <w:jc w:val="both"/>
              <w:rPr>
                <w:rFonts w:cs="Arial"/>
                <w:b/>
                <w:color w:val="000000"/>
                <w:sz w:val="22"/>
                <w:szCs w:val="22"/>
              </w:rPr>
            </w:pPr>
          </w:p>
          <w:p w14:paraId="551203CE" w14:textId="5EB11D20" w:rsidR="002A6D8B" w:rsidRPr="00EB4E4F" w:rsidRDefault="002A6D8B" w:rsidP="00EB4E4F">
            <w:pPr>
              <w:numPr>
                <w:ilvl w:val="0"/>
                <w:numId w:val="4"/>
              </w:numPr>
              <w:jc w:val="both"/>
              <w:rPr>
                <w:rFonts w:cs="Arial"/>
                <w:b/>
                <w:color w:val="000000"/>
                <w:sz w:val="22"/>
                <w:szCs w:val="22"/>
              </w:rPr>
            </w:pPr>
            <w:r w:rsidRPr="00EB4E4F">
              <w:rPr>
                <w:rFonts w:cs="Arial"/>
                <w:b/>
                <w:color w:val="000000"/>
                <w:sz w:val="22"/>
                <w:szCs w:val="22"/>
              </w:rPr>
              <w:t xml:space="preserve">IMPACTO ECONÓMICO </w:t>
            </w:r>
          </w:p>
          <w:p w14:paraId="4101652C" w14:textId="77777777" w:rsidR="002A6D8B" w:rsidRPr="00EB4E4F" w:rsidRDefault="002A6D8B" w:rsidP="00EB4E4F">
            <w:pPr>
              <w:ind w:left="720"/>
              <w:jc w:val="both"/>
              <w:rPr>
                <w:rFonts w:cs="Arial"/>
                <w:b/>
                <w:color w:val="000000"/>
                <w:sz w:val="22"/>
                <w:szCs w:val="22"/>
              </w:rPr>
            </w:pPr>
          </w:p>
          <w:p w14:paraId="01B9561D" w14:textId="1BFFDBD8" w:rsidR="002A6D8B" w:rsidRPr="00EB4E4F" w:rsidRDefault="00444CBE" w:rsidP="00EB4E4F">
            <w:pPr>
              <w:ind w:left="360"/>
              <w:jc w:val="both"/>
              <w:rPr>
                <w:rFonts w:cs="Arial"/>
                <w:sz w:val="22"/>
                <w:szCs w:val="22"/>
                <w:lang w:val="es-CO"/>
              </w:rPr>
            </w:pPr>
            <w:r w:rsidRPr="00EB4E4F">
              <w:rPr>
                <w:rFonts w:cs="Arial"/>
                <w:sz w:val="22"/>
                <w:szCs w:val="22"/>
                <w:lang w:val="es-CO"/>
              </w:rPr>
              <w:lastRenderedPageBreak/>
              <w:t xml:space="preserve">El presente </w:t>
            </w:r>
            <w:r w:rsidR="00AB1CFA" w:rsidRPr="00EB4E4F">
              <w:rPr>
                <w:rFonts w:cs="Arial"/>
                <w:sz w:val="22"/>
                <w:szCs w:val="22"/>
                <w:lang w:val="es-CO"/>
              </w:rPr>
              <w:t>d</w:t>
            </w:r>
            <w:r w:rsidRPr="00EB4E4F">
              <w:rPr>
                <w:rFonts w:cs="Arial"/>
                <w:sz w:val="22"/>
                <w:szCs w:val="22"/>
                <w:lang w:val="es-CO"/>
              </w:rPr>
              <w:t>ecreto n</w:t>
            </w:r>
            <w:r w:rsidR="00F8195D" w:rsidRPr="00EB4E4F">
              <w:rPr>
                <w:rFonts w:cs="Arial"/>
                <w:sz w:val="22"/>
                <w:szCs w:val="22"/>
                <w:lang w:val="es-CO"/>
              </w:rPr>
              <w:t xml:space="preserve">o genera impacto económico, ya que </w:t>
            </w:r>
            <w:r w:rsidRPr="00EB4E4F">
              <w:rPr>
                <w:rFonts w:cs="Arial"/>
                <w:sz w:val="22"/>
                <w:szCs w:val="22"/>
                <w:lang w:val="es-CO"/>
              </w:rPr>
              <w:t xml:space="preserve">las disposiciones presentadas se realizarán en el marco de las competencias actuales de las entidades involucradas, respetando el marco fiscal </w:t>
            </w:r>
            <w:r w:rsidR="008A7F70" w:rsidRPr="00EB4E4F">
              <w:rPr>
                <w:rFonts w:cs="Arial"/>
                <w:sz w:val="22"/>
                <w:szCs w:val="22"/>
                <w:lang w:val="es-CO"/>
              </w:rPr>
              <w:t>de</w:t>
            </w:r>
            <w:r w:rsidRPr="00EB4E4F">
              <w:rPr>
                <w:rFonts w:cs="Arial"/>
                <w:sz w:val="22"/>
                <w:szCs w:val="22"/>
                <w:lang w:val="es-CO"/>
              </w:rPr>
              <w:t xml:space="preserve"> mediano plazo. En lo que respecta al </w:t>
            </w:r>
            <w:r w:rsidR="00F8195D" w:rsidRPr="00EB4E4F">
              <w:rPr>
                <w:rFonts w:cs="Arial"/>
                <w:sz w:val="22"/>
                <w:szCs w:val="22"/>
                <w:lang w:val="es-CO"/>
              </w:rPr>
              <w:t xml:space="preserve">Ministerio del Interior, </w:t>
            </w:r>
            <w:r w:rsidR="008A7F70" w:rsidRPr="00EB4E4F">
              <w:rPr>
                <w:rFonts w:cs="Arial"/>
                <w:sz w:val="22"/>
                <w:szCs w:val="22"/>
                <w:lang w:val="es-CO"/>
              </w:rPr>
              <w:t>se indica que, la Dirección de Derechos Humanos actualmente cuenta con el Proyecto de Inversión BPIN 202300000000005 con recursos de hasta cuatro mil quinientos dos millones trescientos sesenta y cuatro mil cuatrocientos pesos ($ 4.502.364.400) destinados al cumplimiento de las obligaciones de esta cartera, en materia de</w:t>
            </w:r>
            <w:r w:rsidR="002C00A3">
              <w:rPr>
                <w:rFonts w:cs="Arial"/>
                <w:sz w:val="22"/>
                <w:szCs w:val="22"/>
                <w:lang w:val="es-CO"/>
              </w:rPr>
              <w:t xml:space="preserve"> gestión y administración </w:t>
            </w:r>
            <w:r w:rsidR="008A7F70" w:rsidRPr="00EB4E4F">
              <w:rPr>
                <w:rFonts w:cs="Arial"/>
                <w:sz w:val="22"/>
                <w:szCs w:val="22"/>
                <w:lang w:val="es-CO"/>
              </w:rPr>
              <w:t xml:space="preserve">de cementerios. </w:t>
            </w:r>
          </w:p>
          <w:p w14:paraId="4B99056E" w14:textId="77777777" w:rsidR="002A6D8B" w:rsidRPr="00EB4E4F" w:rsidRDefault="002A6D8B" w:rsidP="00EB4E4F">
            <w:pPr>
              <w:jc w:val="both"/>
              <w:rPr>
                <w:rFonts w:cs="Arial"/>
                <w:sz w:val="22"/>
                <w:szCs w:val="22"/>
                <w:lang w:val="es-CO"/>
              </w:rPr>
            </w:pPr>
          </w:p>
        </w:tc>
      </w:tr>
      <w:tr w:rsidR="002A6D8B" w:rsidRPr="00EB4E4F" w14:paraId="6917EA08" w14:textId="77777777" w:rsidTr="1DC7A7D1">
        <w:trPr>
          <w:trHeight w:val="66"/>
        </w:trPr>
        <w:tc>
          <w:tcPr>
            <w:tcW w:w="1077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9C43A" w14:textId="77777777" w:rsidR="002A6D8B" w:rsidRPr="00EB4E4F" w:rsidRDefault="002A6D8B" w:rsidP="00EB4E4F">
            <w:pPr>
              <w:jc w:val="both"/>
              <w:rPr>
                <w:rFonts w:cs="Arial"/>
                <w:b/>
                <w:color w:val="000000"/>
                <w:sz w:val="22"/>
                <w:szCs w:val="22"/>
              </w:rPr>
            </w:pPr>
          </w:p>
          <w:p w14:paraId="1A33C7C8" w14:textId="2C8DDF5B" w:rsidR="002A6D8B" w:rsidRPr="00EB4E4F" w:rsidRDefault="002A6D8B" w:rsidP="00EB4E4F">
            <w:pPr>
              <w:numPr>
                <w:ilvl w:val="0"/>
                <w:numId w:val="4"/>
              </w:numPr>
              <w:jc w:val="both"/>
              <w:rPr>
                <w:rFonts w:cs="Arial"/>
                <w:b/>
                <w:color w:val="000000"/>
                <w:sz w:val="22"/>
                <w:szCs w:val="22"/>
              </w:rPr>
            </w:pPr>
            <w:r w:rsidRPr="00EB4E4F">
              <w:rPr>
                <w:rFonts w:cs="Arial"/>
                <w:b/>
                <w:color w:val="000000"/>
                <w:sz w:val="22"/>
                <w:szCs w:val="22"/>
              </w:rPr>
              <w:t xml:space="preserve">VIABILIDAD O DISPONIBILIDAD PRESUPUESTAL </w:t>
            </w:r>
          </w:p>
          <w:p w14:paraId="4DDBEF00" w14:textId="77777777" w:rsidR="002A6D8B" w:rsidRPr="00EB4E4F" w:rsidRDefault="002A6D8B" w:rsidP="00EB4E4F">
            <w:pPr>
              <w:ind w:left="720"/>
              <w:jc w:val="both"/>
              <w:rPr>
                <w:rFonts w:cs="Arial"/>
                <w:b/>
                <w:color w:val="000000"/>
                <w:sz w:val="22"/>
                <w:szCs w:val="22"/>
              </w:rPr>
            </w:pPr>
          </w:p>
          <w:p w14:paraId="1AC6F7AA" w14:textId="7F605908" w:rsidR="002A6D8B" w:rsidRPr="00EB4E4F" w:rsidRDefault="60F93A79" w:rsidP="00EB4E4F">
            <w:pPr>
              <w:ind w:left="360"/>
              <w:jc w:val="both"/>
              <w:rPr>
                <w:rFonts w:cs="Arial"/>
                <w:sz w:val="22"/>
                <w:szCs w:val="22"/>
                <w:lang w:eastAsia="es-CO"/>
              </w:rPr>
            </w:pPr>
            <w:r w:rsidRPr="00EB4E4F">
              <w:rPr>
                <w:rFonts w:cs="Arial"/>
                <w:sz w:val="22"/>
                <w:szCs w:val="22"/>
                <w:lang w:eastAsia="es-CO"/>
              </w:rPr>
              <w:t xml:space="preserve">El Ministerio del Interior cuenta con los recursos para </w:t>
            </w:r>
            <w:r w:rsidR="20C153EA" w:rsidRPr="00EB4E4F">
              <w:rPr>
                <w:rFonts w:cs="Arial"/>
                <w:sz w:val="22"/>
                <w:szCs w:val="22"/>
                <w:lang w:eastAsia="es-CO"/>
              </w:rPr>
              <w:t>dar cumplimiento a las disposiciones del Decreto</w:t>
            </w:r>
            <w:r w:rsidR="52354254" w:rsidRPr="00EB4E4F">
              <w:rPr>
                <w:rFonts w:cs="Arial"/>
                <w:sz w:val="22"/>
                <w:szCs w:val="22"/>
                <w:lang w:eastAsia="es-CO"/>
              </w:rPr>
              <w:t xml:space="preserve"> en lo que respecta a sus competencias,</w:t>
            </w:r>
            <w:r w:rsidR="20C153EA" w:rsidRPr="00EB4E4F">
              <w:rPr>
                <w:rFonts w:cs="Arial"/>
                <w:sz w:val="22"/>
                <w:szCs w:val="22"/>
                <w:lang w:eastAsia="es-CO"/>
              </w:rPr>
              <w:t xml:space="preserve"> a través del </w:t>
            </w:r>
            <w:r w:rsidR="20C153EA" w:rsidRPr="00EB4E4F">
              <w:rPr>
                <w:rFonts w:cs="Arial"/>
                <w:sz w:val="22"/>
                <w:szCs w:val="22"/>
                <w:lang w:val="es-CO"/>
              </w:rPr>
              <w:t>Proyecto de Inversión BPIN 202300000000005</w:t>
            </w:r>
            <w:r w:rsidR="20C153EA" w:rsidRPr="00EB4E4F">
              <w:rPr>
                <w:rFonts w:cs="Arial"/>
                <w:sz w:val="22"/>
                <w:szCs w:val="22"/>
                <w:lang w:eastAsia="es-CO"/>
              </w:rPr>
              <w:t xml:space="preserve">. </w:t>
            </w:r>
          </w:p>
          <w:p w14:paraId="3461D779" w14:textId="77777777" w:rsidR="0088403E" w:rsidRPr="00EB4E4F" w:rsidRDefault="0088403E" w:rsidP="00EB4E4F">
            <w:pPr>
              <w:ind w:left="360"/>
              <w:jc w:val="both"/>
              <w:rPr>
                <w:rFonts w:cs="Arial"/>
                <w:sz w:val="22"/>
                <w:szCs w:val="22"/>
                <w:lang w:eastAsia="es-CO"/>
              </w:rPr>
            </w:pPr>
          </w:p>
        </w:tc>
      </w:tr>
      <w:tr w:rsidR="002A6D8B" w:rsidRPr="00EB4E4F" w14:paraId="7FF6CD84" w14:textId="77777777" w:rsidTr="1DC7A7D1">
        <w:trPr>
          <w:trHeight w:val="1295"/>
        </w:trPr>
        <w:tc>
          <w:tcPr>
            <w:tcW w:w="10773" w:type="dxa"/>
            <w:gridSpan w:val="3"/>
            <w:tcBorders>
              <w:top w:val="single" w:sz="4" w:space="0" w:color="auto"/>
              <w:bottom w:val="single" w:sz="4" w:space="0" w:color="auto"/>
            </w:tcBorders>
            <w:shd w:val="clear" w:color="auto" w:fill="FFFFFF" w:themeFill="background1"/>
            <w:vAlign w:val="center"/>
          </w:tcPr>
          <w:p w14:paraId="153197BB" w14:textId="7F8ED2BC" w:rsidR="002A6D8B" w:rsidRPr="00EB4E4F" w:rsidRDefault="002A6D8B" w:rsidP="1DC7A7D1">
            <w:pPr>
              <w:numPr>
                <w:ilvl w:val="0"/>
                <w:numId w:val="4"/>
              </w:numPr>
              <w:jc w:val="both"/>
              <w:rPr>
                <w:rFonts w:cs="Arial"/>
                <w:b/>
                <w:bCs/>
                <w:color w:val="000000"/>
                <w:sz w:val="22"/>
                <w:szCs w:val="22"/>
              </w:rPr>
            </w:pPr>
            <w:r w:rsidRPr="1DC7A7D1">
              <w:rPr>
                <w:rFonts w:cs="Arial"/>
                <w:b/>
                <w:bCs/>
                <w:color w:val="000000" w:themeColor="text1"/>
                <w:sz w:val="22"/>
                <w:szCs w:val="22"/>
              </w:rPr>
              <w:t xml:space="preserve"> IMPACTO MEDIOAMBIENTAL O SOBRE EL PATRIMONIO CULTURAL DE LA NACIÓN</w:t>
            </w:r>
          </w:p>
          <w:p w14:paraId="3CF2D8B6" w14:textId="77777777" w:rsidR="002A6D8B" w:rsidRPr="00EB4E4F" w:rsidRDefault="002A6D8B" w:rsidP="00EB4E4F">
            <w:pPr>
              <w:jc w:val="both"/>
              <w:rPr>
                <w:rFonts w:cs="Arial"/>
                <w:sz w:val="22"/>
                <w:szCs w:val="22"/>
                <w:lang w:eastAsia="es-CO"/>
              </w:rPr>
            </w:pPr>
          </w:p>
          <w:p w14:paraId="5B49DF18" w14:textId="77777777" w:rsidR="002A6D8B" w:rsidRPr="00EB4E4F" w:rsidRDefault="002A6D8B" w:rsidP="00EB4E4F">
            <w:pPr>
              <w:ind w:left="360"/>
              <w:jc w:val="both"/>
              <w:rPr>
                <w:rFonts w:cs="Arial"/>
                <w:b/>
                <w:color w:val="000000"/>
                <w:sz w:val="22"/>
                <w:szCs w:val="22"/>
              </w:rPr>
            </w:pPr>
            <w:r w:rsidRPr="00EB4E4F">
              <w:rPr>
                <w:rFonts w:cs="Arial"/>
                <w:sz w:val="22"/>
                <w:szCs w:val="22"/>
                <w:lang w:eastAsia="es-CO"/>
              </w:rPr>
              <w:t>No aplica.</w:t>
            </w:r>
          </w:p>
        </w:tc>
      </w:tr>
      <w:tr w:rsidR="002A6D8B" w:rsidRPr="00EB4E4F" w14:paraId="1566CFBC" w14:textId="77777777" w:rsidTr="1DC7A7D1">
        <w:trPr>
          <w:trHeight w:val="317"/>
        </w:trPr>
        <w:tc>
          <w:tcPr>
            <w:tcW w:w="10773" w:type="dxa"/>
            <w:gridSpan w:val="3"/>
            <w:tcBorders>
              <w:top w:val="single" w:sz="4" w:space="0" w:color="auto"/>
              <w:bottom w:val="single" w:sz="4" w:space="0" w:color="auto"/>
            </w:tcBorders>
            <w:shd w:val="clear" w:color="auto" w:fill="FFFFFF" w:themeFill="background1"/>
            <w:vAlign w:val="center"/>
          </w:tcPr>
          <w:p w14:paraId="1F95DEA9" w14:textId="77777777" w:rsidR="002A6D8B" w:rsidRPr="00EB4E4F" w:rsidRDefault="002A6D8B" w:rsidP="00EB4E4F">
            <w:pPr>
              <w:numPr>
                <w:ilvl w:val="0"/>
                <w:numId w:val="4"/>
              </w:numPr>
              <w:jc w:val="both"/>
              <w:rPr>
                <w:rFonts w:cs="Arial"/>
                <w:sz w:val="22"/>
                <w:szCs w:val="22"/>
              </w:rPr>
            </w:pPr>
            <w:r w:rsidRPr="00EB4E4F">
              <w:rPr>
                <w:rFonts w:cs="Arial"/>
                <w:b/>
                <w:sz w:val="22"/>
                <w:szCs w:val="22"/>
              </w:rPr>
              <w:t>ESTUDIOS TÉCNICOS QUE SUSTENTEN EL PROYECTO NORMATIVO</w:t>
            </w:r>
            <w:r w:rsidRPr="00EB4E4F">
              <w:rPr>
                <w:rFonts w:cs="Arial"/>
                <w:sz w:val="22"/>
                <w:szCs w:val="22"/>
              </w:rPr>
              <w:t xml:space="preserve"> (Si cuenta con ellos) </w:t>
            </w:r>
          </w:p>
        </w:tc>
      </w:tr>
      <w:tr w:rsidR="002A6D8B" w:rsidRPr="00EB4E4F" w14:paraId="4F9287A5" w14:textId="77777777" w:rsidTr="1DC7A7D1">
        <w:trPr>
          <w:trHeight w:val="416"/>
        </w:trPr>
        <w:tc>
          <w:tcPr>
            <w:tcW w:w="10773" w:type="dxa"/>
            <w:gridSpan w:val="3"/>
            <w:tcBorders>
              <w:top w:val="single" w:sz="4" w:space="0" w:color="auto"/>
              <w:bottom w:val="single" w:sz="4" w:space="0" w:color="auto"/>
            </w:tcBorders>
            <w:shd w:val="clear" w:color="auto" w:fill="5B8AFF"/>
            <w:vAlign w:val="center"/>
          </w:tcPr>
          <w:p w14:paraId="4C55EDF4" w14:textId="77777777" w:rsidR="002A6D8B" w:rsidRPr="00EB4E4F" w:rsidRDefault="002A6D8B" w:rsidP="00EB4E4F">
            <w:pPr>
              <w:jc w:val="both"/>
              <w:rPr>
                <w:rFonts w:cs="Arial"/>
                <w:color w:val="FFFFFF"/>
                <w:sz w:val="22"/>
                <w:szCs w:val="22"/>
              </w:rPr>
            </w:pPr>
            <w:r w:rsidRPr="00EB4E4F">
              <w:rPr>
                <w:rFonts w:cs="Arial"/>
                <w:b/>
                <w:color w:val="FFFFFF"/>
                <w:sz w:val="22"/>
                <w:szCs w:val="22"/>
              </w:rPr>
              <w:t>ANEXOS:</w:t>
            </w:r>
            <w:r w:rsidRPr="00EB4E4F">
              <w:rPr>
                <w:rFonts w:cs="Arial"/>
                <w:color w:val="FFFFFF"/>
                <w:sz w:val="22"/>
                <w:szCs w:val="22"/>
              </w:rPr>
              <w:t xml:space="preserve"> </w:t>
            </w:r>
          </w:p>
        </w:tc>
      </w:tr>
      <w:tr w:rsidR="002A6D8B" w:rsidRPr="00EB4E4F" w14:paraId="6A122340" w14:textId="77777777" w:rsidTr="1DC7A7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428D08BF" w14:textId="77777777" w:rsidR="009E6B3A" w:rsidRPr="00EB4E4F" w:rsidRDefault="009E6B3A" w:rsidP="00EB4E4F">
            <w:pPr>
              <w:ind w:right="474"/>
              <w:jc w:val="both"/>
              <w:rPr>
                <w:rFonts w:cs="Arial"/>
                <w:sz w:val="22"/>
                <w:szCs w:val="22"/>
              </w:rPr>
            </w:pPr>
            <w:r w:rsidRPr="00EB4E4F">
              <w:rPr>
                <w:rFonts w:cs="Arial"/>
                <w:sz w:val="22"/>
                <w:szCs w:val="22"/>
              </w:rPr>
              <w:t xml:space="preserve">Certificación de cumplimiento de requisitos de consulta, publicidad y de incorporación en la agenda regulatoria </w:t>
            </w:r>
          </w:p>
          <w:p w14:paraId="7E1A6576" w14:textId="77777777" w:rsidR="002A6D8B" w:rsidRPr="00EB4E4F" w:rsidRDefault="009E6B3A" w:rsidP="00EB4E4F">
            <w:pPr>
              <w:jc w:val="both"/>
              <w:rPr>
                <w:rFonts w:cs="Arial"/>
                <w:sz w:val="22"/>
                <w:szCs w:val="22"/>
              </w:rPr>
            </w:pPr>
            <w:r w:rsidRPr="00EB4E4F">
              <w:rPr>
                <w:rFonts w:cs="Arial"/>
                <w:i/>
                <w:color w:val="808080"/>
                <w:sz w:val="22"/>
                <w:szCs w:val="22"/>
              </w:rPr>
              <w:t>(Firmada por el servidor público competente –entidad originadora)</w:t>
            </w:r>
            <w:r w:rsidR="00110F0F" w:rsidRPr="00EB4E4F">
              <w:rPr>
                <w:rFonts w:cs="Arial"/>
                <w:sz w:val="22"/>
                <w:szCs w:val="22"/>
              </w:rPr>
              <w:t xml:space="preserve"> </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5DFAC6C8" w14:textId="77777777" w:rsidR="002A6D8B" w:rsidRPr="00EB4E4F" w:rsidRDefault="009E6B3A" w:rsidP="00EB4E4F">
            <w:pPr>
              <w:jc w:val="both"/>
              <w:rPr>
                <w:rFonts w:cs="Arial"/>
                <w:b/>
                <w:sz w:val="22"/>
                <w:szCs w:val="22"/>
              </w:rPr>
            </w:pPr>
            <w:r w:rsidRPr="00EB4E4F">
              <w:rPr>
                <w:rFonts w:cs="Arial"/>
                <w:i/>
                <w:color w:val="808080"/>
                <w:sz w:val="22"/>
                <w:szCs w:val="22"/>
              </w:rPr>
              <w:t>(Marque con una x)</w:t>
            </w:r>
          </w:p>
        </w:tc>
      </w:tr>
      <w:tr w:rsidR="002A6D8B" w:rsidRPr="00EB4E4F" w14:paraId="37A0D0F3" w14:textId="77777777" w:rsidTr="1DC7A7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19508C8F" w14:textId="77777777" w:rsidR="002A6D8B" w:rsidRPr="00EB4E4F" w:rsidRDefault="002A6D8B" w:rsidP="00EB4E4F">
            <w:pPr>
              <w:jc w:val="both"/>
              <w:rPr>
                <w:rFonts w:cs="Arial"/>
                <w:sz w:val="22"/>
                <w:szCs w:val="22"/>
              </w:rPr>
            </w:pPr>
            <w:r w:rsidRPr="00EB4E4F">
              <w:rPr>
                <w:rFonts w:cs="Arial"/>
                <w:sz w:val="22"/>
                <w:szCs w:val="22"/>
              </w:rPr>
              <w:t>Concepto(s) de Ministerio de Comercio, Industria y Turismo</w:t>
            </w:r>
          </w:p>
          <w:p w14:paraId="66FBDB1C" w14:textId="77777777" w:rsidR="002A6D8B" w:rsidRPr="00EB4E4F" w:rsidRDefault="002A6D8B" w:rsidP="00EB4E4F">
            <w:pPr>
              <w:jc w:val="both"/>
              <w:rPr>
                <w:rFonts w:cs="Arial"/>
                <w:i/>
                <w:color w:val="808080"/>
                <w:sz w:val="22"/>
                <w:szCs w:val="22"/>
              </w:rPr>
            </w:pPr>
            <w:r w:rsidRPr="00EB4E4F">
              <w:rPr>
                <w:rFonts w:cs="Arial"/>
                <w:i/>
                <w:color w:val="808080"/>
                <w:sz w:val="22"/>
                <w:szCs w:val="22"/>
              </w:rPr>
              <w:t>(Cuando se trate de un proyecto de reglamento técnico o de procedimientos de evaluación de conformidad)</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0B689E5E" w14:textId="77777777" w:rsidR="002A6D8B" w:rsidRPr="00EB4E4F" w:rsidRDefault="002A6D8B" w:rsidP="00EB4E4F">
            <w:pPr>
              <w:jc w:val="both"/>
              <w:rPr>
                <w:rFonts w:cs="Arial"/>
                <w:sz w:val="22"/>
                <w:szCs w:val="22"/>
              </w:rPr>
            </w:pPr>
            <w:r w:rsidRPr="00EB4E4F">
              <w:rPr>
                <w:rFonts w:cs="Arial"/>
                <w:i/>
                <w:color w:val="808080"/>
                <w:sz w:val="22"/>
                <w:szCs w:val="22"/>
              </w:rPr>
              <w:t>(Marque con una x)</w:t>
            </w:r>
          </w:p>
        </w:tc>
      </w:tr>
      <w:tr w:rsidR="002A6D8B" w:rsidRPr="00EB4E4F" w14:paraId="510012B3" w14:textId="77777777" w:rsidTr="1DC7A7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2274C83A" w14:textId="77777777" w:rsidR="002A6D8B" w:rsidRPr="00EB4E4F" w:rsidRDefault="002A6D8B" w:rsidP="00EB4E4F">
            <w:pPr>
              <w:jc w:val="both"/>
              <w:rPr>
                <w:rFonts w:cs="Arial"/>
                <w:sz w:val="22"/>
                <w:szCs w:val="22"/>
              </w:rPr>
            </w:pPr>
            <w:r w:rsidRPr="1DC7A7D1">
              <w:rPr>
                <w:rFonts w:cs="Arial"/>
                <w:sz w:val="22"/>
                <w:szCs w:val="22"/>
              </w:rPr>
              <w:t xml:space="preserve">Informe de observaciones y respuestas </w:t>
            </w:r>
          </w:p>
          <w:p w14:paraId="266A1F27" w14:textId="77777777" w:rsidR="002A6D8B" w:rsidRPr="00EB4E4F" w:rsidRDefault="002A6D8B" w:rsidP="00EB4E4F">
            <w:pPr>
              <w:jc w:val="both"/>
              <w:rPr>
                <w:rFonts w:cs="Arial"/>
                <w:i/>
                <w:color w:val="808080"/>
                <w:sz w:val="22"/>
                <w:szCs w:val="22"/>
              </w:rPr>
            </w:pPr>
            <w:r w:rsidRPr="00EB4E4F">
              <w:rPr>
                <w:rFonts w:cs="Arial"/>
                <w:i/>
                <w:color w:val="808080"/>
                <w:sz w:val="22"/>
                <w:szCs w:val="22"/>
              </w:rPr>
              <w:t>(Análisis del informe con la evaluación de las observaciones de los ciudadanos y grupos de interés sobre el proyecto normativo)</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6F6269AB" w14:textId="77777777" w:rsidR="002A6D8B" w:rsidRPr="00EB4E4F" w:rsidRDefault="002A6D8B" w:rsidP="00EB4E4F">
            <w:pPr>
              <w:jc w:val="both"/>
              <w:rPr>
                <w:rFonts w:cs="Arial"/>
                <w:sz w:val="22"/>
                <w:szCs w:val="22"/>
              </w:rPr>
            </w:pPr>
            <w:r w:rsidRPr="00EB4E4F">
              <w:rPr>
                <w:rFonts w:cs="Arial"/>
                <w:i/>
                <w:color w:val="808080"/>
                <w:sz w:val="22"/>
                <w:szCs w:val="22"/>
              </w:rPr>
              <w:t>(Marque con una x)</w:t>
            </w:r>
          </w:p>
        </w:tc>
      </w:tr>
      <w:tr w:rsidR="002A6D8B" w:rsidRPr="00EB4E4F" w14:paraId="10362F55" w14:textId="77777777" w:rsidTr="1DC7A7D1">
        <w:trPr>
          <w:trHeight w:val="6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376EB69F" w14:textId="77777777" w:rsidR="002A6D8B" w:rsidRPr="00EB4E4F" w:rsidRDefault="002A6D8B" w:rsidP="00EB4E4F">
            <w:pPr>
              <w:jc w:val="both"/>
              <w:rPr>
                <w:rFonts w:cs="Arial"/>
                <w:sz w:val="22"/>
                <w:szCs w:val="22"/>
              </w:rPr>
            </w:pPr>
            <w:r w:rsidRPr="00EB4E4F">
              <w:rPr>
                <w:rFonts w:cs="Arial"/>
                <w:sz w:val="22"/>
                <w:szCs w:val="22"/>
              </w:rPr>
              <w:t>Concepto de Abogacía de la Competencia de la Superintendencia de Industria y Comercio</w:t>
            </w:r>
          </w:p>
          <w:p w14:paraId="7FEE1A87" w14:textId="77777777" w:rsidR="002A6D8B" w:rsidRPr="00EB4E4F" w:rsidRDefault="002A6D8B" w:rsidP="00EB4E4F">
            <w:pPr>
              <w:jc w:val="both"/>
              <w:rPr>
                <w:rFonts w:cs="Arial"/>
                <w:i/>
                <w:color w:val="808080"/>
                <w:sz w:val="22"/>
                <w:szCs w:val="22"/>
              </w:rPr>
            </w:pPr>
            <w:r w:rsidRPr="00EB4E4F">
              <w:rPr>
                <w:rFonts w:cs="Arial"/>
                <w:i/>
                <w:color w:val="808080"/>
                <w:sz w:val="22"/>
                <w:szCs w:val="22"/>
              </w:rPr>
              <w:t>(Cuando los proyectos normativos tengan incidencia en la libre competencia de los mercados)</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4DDB4C96" w14:textId="77777777" w:rsidR="002A6D8B" w:rsidRPr="00EB4E4F" w:rsidRDefault="002A6D8B" w:rsidP="00EB4E4F">
            <w:pPr>
              <w:jc w:val="both"/>
              <w:rPr>
                <w:rFonts w:cs="Arial"/>
                <w:sz w:val="22"/>
                <w:szCs w:val="22"/>
              </w:rPr>
            </w:pPr>
            <w:r w:rsidRPr="00EB4E4F">
              <w:rPr>
                <w:rFonts w:cs="Arial"/>
                <w:i/>
                <w:color w:val="808080"/>
                <w:sz w:val="22"/>
                <w:szCs w:val="22"/>
              </w:rPr>
              <w:t>(Marque con una x)</w:t>
            </w:r>
          </w:p>
        </w:tc>
      </w:tr>
      <w:tr w:rsidR="002A6D8B" w:rsidRPr="00EB4E4F" w14:paraId="033F51D6" w14:textId="77777777" w:rsidTr="1DC7A7D1">
        <w:trPr>
          <w:trHeight w:val="356"/>
        </w:trPr>
        <w:tc>
          <w:tcPr>
            <w:tcW w:w="7655" w:type="dxa"/>
            <w:gridSpan w:val="2"/>
            <w:tcBorders>
              <w:top w:val="single" w:sz="4" w:space="0" w:color="auto"/>
              <w:bottom w:val="single" w:sz="4" w:space="0" w:color="auto"/>
              <w:right w:val="single" w:sz="4" w:space="0" w:color="auto"/>
            </w:tcBorders>
            <w:shd w:val="clear" w:color="auto" w:fill="FFFFFF" w:themeFill="background1"/>
            <w:vAlign w:val="center"/>
          </w:tcPr>
          <w:p w14:paraId="51EE0CF1" w14:textId="77777777" w:rsidR="002A6D8B" w:rsidRPr="00EB4E4F" w:rsidRDefault="002A6D8B" w:rsidP="00EB4E4F">
            <w:pPr>
              <w:jc w:val="both"/>
              <w:rPr>
                <w:rFonts w:cs="Arial"/>
                <w:sz w:val="22"/>
                <w:szCs w:val="22"/>
              </w:rPr>
            </w:pPr>
            <w:r w:rsidRPr="00EB4E4F">
              <w:rPr>
                <w:rFonts w:cs="Arial"/>
                <w:sz w:val="22"/>
                <w:szCs w:val="22"/>
              </w:rPr>
              <w:t xml:space="preserve">Otro </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0FB78278" w14:textId="77777777" w:rsidR="002A6D8B" w:rsidRPr="00EB4E4F" w:rsidRDefault="002A6D8B" w:rsidP="00EB4E4F">
            <w:pPr>
              <w:jc w:val="both"/>
              <w:rPr>
                <w:rFonts w:cs="Arial"/>
                <w:sz w:val="22"/>
                <w:szCs w:val="22"/>
              </w:rPr>
            </w:pPr>
          </w:p>
        </w:tc>
      </w:tr>
    </w:tbl>
    <w:p w14:paraId="36858166" w14:textId="77777777" w:rsidR="00C83FEB" w:rsidRDefault="00C83FEB" w:rsidP="00EB4E4F">
      <w:pPr>
        <w:ind w:left="-1276" w:right="-377" w:firstLine="283"/>
        <w:jc w:val="both"/>
        <w:rPr>
          <w:rFonts w:cs="Arial"/>
          <w:b/>
          <w:sz w:val="22"/>
          <w:szCs w:val="22"/>
        </w:rPr>
      </w:pPr>
    </w:p>
    <w:p w14:paraId="2E4D93AB" w14:textId="5F6165A6" w:rsidR="00EB4E4F" w:rsidRDefault="000B30A6" w:rsidP="00EB4E4F">
      <w:pPr>
        <w:ind w:left="-1276" w:right="-377" w:firstLine="283"/>
        <w:jc w:val="both"/>
        <w:rPr>
          <w:rFonts w:cs="Arial"/>
          <w:b/>
          <w:sz w:val="22"/>
          <w:szCs w:val="22"/>
        </w:rPr>
      </w:pPr>
      <w:r w:rsidRPr="00EB4E4F">
        <w:rPr>
          <w:rFonts w:cs="Arial"/>
          <w:b/>
          <w:sz w:val="22"/>
          <w:szCs w:val="22"/>
        </w:rPr>
        <w:t>Aprobó</w:t>
      </w:r>
      <w:r w:rsidR="00CB4D37" w:rsidRPr="00EB4E4F">
        <w:rPr>
          <w:rFonts w:cs="Arial"/>
          <w:b/>
          <w:sz w:val="22"/>
          <w:szCs w:val="22"/>
        </w:rPr>
        <w:t>:</w:t>
      </w:r>
    </w:p>
    <w:p w14:paraId="09EF4475" w14:textId="77777777" w:rsidR="00EB4E4F" w:rsidRDefault="00EB4E4F" w:rsidP="00EB4E4F">
      <w:pPr>
        <w:ind w:left="-1276" w:right="-377" w:firstLine="283"/>
        <w:jc w:val="both"/>
        <w:rPr>
          <w:rFonts w:cs="Arial"/>
          <w:b/>
          <w:sz w:val="22"/>
          <w:szCs w:val="22"/>
        </w:rPr>
      </w:pPr>
    </w:p>
    <w:p w14:paraId="319BA235" w14:textId="77777777" w:rsidR="00EB4E4F" w:rsidRDefault="00EB4E4F" w:rsidP="00EB4E4F">
      <w:pPr>
        <w:ind w:left="-1276" w:right="-377" w:firstLine="283"/>
        <w:jc w:val="both"/>
        <w:rPr>
          <w:rFonts w:cs="Arial"/>
          <w:b/>
          <w:sz w:val="22"/>
          <w:szCs w:val="22"/>
        </w:rPr>
      </w:pPr>
    </w:p>
    <w:p w14:paraId="4540EC42" w14:textId="77777777" w:rsidR="00EB4E4F" w:rsidRDefault="008A7F70" w:rsidP="00EB4E4F">
      <w:pPr>
        <w:ind w:left="-1276" w:right="-377" w:firstLine="283"/>
        <w:jc w:val="both"/>
        <w:rPr>
          <w:rFonts w:cs="Arial"/>
          <w:sz w:val="18"/>
          <w:szCs w:val="18"/>
        </w:rPr>
      </w:pPr>
      <w:r w:rsidRPr="00EB4E4F">
        <w:rPr>
          <w:rFonts w:cs="Arial"/>
          <w:sz w:val="18"/>
          <w:szCs w:val="18"/>
        </w:rPr>
        <w:t>Franklin Castañeda</w:t>
      </w:r>
    </w:p>
    <w:p w14:paraId="51E531A7" w14:textId="77777777" w:rsidR="00EB4E4F" w:rsidRDefault="008A7F70" w:rsidP="00EB4E4F">
      <w:pPr>
        <w:ind w:left="-1276" w:right="-377" w:firstLine="283"/>
        <w:jc w:val="both"/>
        <w:rPr>
          <w:rFonts w:cs="Arial"/>
          <w:sz w:val="18"/>
          <w:szCs w:val="18"/>
        </w:rPr>
      </w:pPr>
      <w:r w:rsidRPr="00EB4E4F">
        <w:rPr>
          <w:rFonts w:cs="Arial"/>
          <w:sz w:val="18"/>
          <w:szCs w:val="18"/>
        </w:rPr>
        <w:t>Director de Derechos Humanos</w:t>
      </w:r>
    </w:p>
    <w:p w14:paraId="27EA09E9" w14:textId="77777777" w:rsidR="00EB4E4F" w:rsidRDefault="00EB4E4F" w:rsidP="00EB4E4F">
      <w:pPr>
        <w:ind w:left="-1276" w:right="-377" w:firstLine="283"/>
        <w:jc w:val="both"/>
        <w:rPr>
          <w:rFonts w:cs="Arial"/>
          <w:sz w:val="18"/>
          <w:szCs w:val="18"/>
        </w:rPr>
      </w:pPr>
    </w:p>
    <w:p w14:paraId="32ED72FB" w14:textId="77777777" w:rsidR="00EB4E4F" w:rsidRDefault="00467B90" w:rsidP="00EB4E4F">
      <w:pPr>
        <w:ind w:left="-1276" w:right="-377" w:firstLine="283"/>
        <w:jc w:val="both"/>
        <w:rPr>
          <w:rFonts w:cs="Arial"/>
          <w:sz w:val="18"/>
          <w:szCs w:val="18"/>
        </w:rPr>
      </w:pPr>
      <w:r w:rsidRPr="00EB4E4F">
        <w:rPr>
          <w:rFonts w:cs="Arial"/>
          <w:sz w:val="18"/>
          <w:szCs w:val="18"/>
        </w:rPr>
        <w:t>Yolima Herrera Martínez</w:t>
      </w:r>
    </w:p>
    <w:p w14:paraId="761039C9" w14:textId="1C6F98D1" w:rsidR="00EB4E4F" w:rsidRDefault="00971A51" w:rsidP="00EB4E4F">
      <w:pPr>
        <w:ind w:left="-1276" w:right="-377" w:firstLine="283"/>
        <w:jc w:val="both"/>
        <w:rPr>
          <w:rFonts w:cs="Arial"/>
          <w:sz w:val="18"/>
          <w:szCs w:val="18"/>
        </w:rPr>
      </w:pPr>
      <w:r>
        <w:rPr>
          <w:rFonts w:cs="Arial"/>
          <w:sz w:val="18"/>
          <w:szCs w:val="18"/>
        </w:rPr>
        <w:t xml:space="preserve">Directora </w:t>
      </w:r>
      <w:r w:rsidR="00467B90" w:rsidRPr="00EB4E4F">
        <w:rPr>
          <w:rFonts w:cs="Arial"/>
          <w:sz w:val="18"/>
          <w:szCs w:val="18"/>
        </w:rPr>
        <w:t xml:space="preserve">Jurídica </w:t>
      </w:r>
    </w:p>
    <w:p w14:paraId="138A67B3" w14:textId="77777777" w:rsidR="00EB4E4F" w:rsidRDefault="00EB4E4F" w:rsidP="00EB4E4F">
      <w:pPr>
        <w:ind w:left="-1276" w:right="-377" w:firstLine="283"/>
        <w:jc w:val="both"/>
        <w:rPr>
          <w:rFonts w:cs="Arial"/>
          <w:sz w:val="18"/>
          <w:szCs w:val="18"/>
        </w:rPr>
      </w:pPr>
    </w:p>
    <w:p w14:paraId="7CC8A973" w14:textId="77777777" w:rsidR="00EB4E4F" w:rsidRDefault="00467B90" w:rsidP="00EB4E4F">
      <w:pPr>
        <w:ind w:left="-1276" w:right="-377" w:firstLine="283"/>
        <w:jc w:val="both"/>
        <w:rPr>
          <w:rFonts w:cs="Arial"/>
          <w:sz w:val="18"/>
          <w:szCs w:val="18"/>
        </w:rPr>
      </w:pPr>
      <w:proofErr w:type="spellStart"/>
      <w:r w:rsidRPr="00EB4E4F">
        <w:rPr>
          <w:rFonts w:cs="Arial"/>
          <w:sz w:val="18"/>
          <w:szCs w:val="18"/>
        </w:rPr>
        <w:t>Yamel</w:t>
      </w:r>
      <w:proofErr w:type="spellEnd"/>
      <w:r w:rsidRPr="00EB4E4F">
        <w:rPr>
          <w:rFonts w:cs="Arial"/>
          <w:sz w:val="18"/>
          <w:szCs w:val="18"/>
        </w:rPr>
        <w:t xml:space="preserve"> Ruiz Orjuela</w:t>
      </w:r>
    </w:p>
    <w:p w14:paraId="3E8B6E57" w14:textId="77777777" w:rsidR="00EB4E4F" w:rsidRDefault="00467B90" w:rsidP="00EB4E4F">
      <w:pPr>
        <w:ind w:left="-1276" w:right="-377" w:firstLine="283"/>
        <w:jc w:val="both"/>
        <w:rPr>
          <w:rFonts w:cs="Arial"/>
          <w:b/>
          <w:sz w:val="22"/>
          <w:szCs w:val="22"/>
        </w:rPr>
      </w:pPr>
      <w:r w:rsidRPr="00EB4E4F">
        <w:rPr>
          <w:rFonts w:cs="Arial"/>
          <w:sz w:val="18"/>
          <w:szCs w:val="18"/>
        </w:rPr>
        <w:lastRenderedPageBreak/>
        <w:t>Secretario General</w:t>
      </w:r>
    </w:p>
    <w:p w14:paraId="656BA42D" w14:textId="77777777" w:rsidR="00EB4E4F" w:rsidRDefault="00EB4E4F" w:rsidP="00EB4E4F">
      <w:pPr>
        <w:ind w:left="-1276" w:right="-377" w:firstLine="283"/>
        <w:jc w:val="both"/>
        <w:rPr>
          <w:rFonts w:cs="Arial"/>
          <w:b/>
          <w:sz w:val="22"/>
          <w:szCs w:val="22"/>
        </w:rPr>
      </w:pPr>
    </w:p>
    <w:p w14:paraId="70F0BC2D" w14:textId="59152124" w:rsidR="00EB4E4F" w:rsidRDefault="00AA7AB3" w:rsidP="00EB4E4F">
      <w:pPr>
        <w:ind w:left="-1276" w:right="-377" w:firstLine="283"/>
        <w:jc w:val="both"/>
        <w:rPr>
          <w:rFonts w:cs="Arial"/>
          <w:b/>
          <w:sz w:val="22"/>
          <w:szCs w:val="22"/>
        </w:rPr>
      </w:pPr>
      <w:r w:rsidRPr="00EB4E4F">
        <w:rPr>
          <w:rFonts w:eastAsia="Arial" w:cs="Arial"/>
          <w:b/>
          <w:bCs/>
          <w:sz w:val="18"/>
          <w:szCs w:val="18"/>
        </w:rPr>
        <w:t>Elaboró:</w:t>
      </w:r>
      <w:r w:rsidR="080E0794" w:rsidRPr="00EB4E4F">
        <w:rPr>
          <w:rFonts w:eastAsia="Arial" w:cs="Arial"/>
          <w:sz w:val="18"/>
          <w:szCs w:val="18"/>
        </w:rPr>
        <w:t xml:space="preserve"> </w:t>
      </w:r>
      <w:proofErr w:type="spellStart"/>
      <w:r w:rsidR="080E0794" w:rsidRPr="00EB4E4F">
        <w:rPr>
          <w:rFonts w:eastAsia="Arial" w:cs="Arial"/>
          <w:sz w:val="18"/>
          <w:szCs w:val="18"/>
        </w:rPr>
        <w:t>Nury</w:t>
      </w:r>
      <w:proofErr w:type="spellEnd"/>
      <w:r w:rsidR="080E0794" w:rsidRPr="00EB4E4F">
        <w:rPr>
          <w:rFonts w:eastAsia="Arial" w:cs="Arial"/>
          <w:sz w:val="18"/>
          <w:szCs w:val="18"/>
        </w:rPr>
        <w:t xml:space="preserve"> Alejandra Ricaurte Castro, </w:t>
      </w:r>
      <w:r w:rsidR="00971A51" w:rsidRPr="00EB4E4F">
        <w:rPr>
          <w:rFonts w:eastAsia="Arial" w:cs="Arial"/>
          <w:sz w:val="18"/>
          <w:szCs w:val="18"/>
        </w:rPr>
        <w:t>María</w:t>
      </w:r>
      <w:r w:rsidR="080E0794" w:rsidRPr="00EB4E4F">
        <w:rPr>
          <w:rFonts w:eastAsia="Arial" w:cs="Arial"/>
          <w:sz w:val="18"/>
          <w:szCs w:val="18"/>
        </w:rPr>
        <w:t xml:space="preserve"> Paula Feliciano, Ana María Parga</w:t>
      </w:r>
      <w:r w:rsidR="009B1F45">
        <w:rPr>
          <w:rFonts w:eastAsia="Arial" w:cs="Arial"/>
          <w:sz w:val="18"/>
          <w:szCs w:val="18"/>
        </w:rPr>
        <w:t>.</w:t>
      </w:r>
      <w:r w:rsidR="00EB4E4F">
        <w:rPr>
          <w:rFonts w:eastAsia="Arial" w:cs="Arial"/>
          <w:sz w:val="18"/>
          <w:szCs w:val="18"/>
        </w:rPr>
        <w:t xml:space="preserve"> Contratistas de la Dirección de DD. HH.</w:t>
      </w:r>
    </w:p>
    <w:p w14:paraId="110FFD37" w14:textId="73647BDD" w:rsidR="00AA7AB3" w:rsidRPr="00EB4E4F" w:rsidRDefault="00AA7AB3" w:rsidP="00EB4E4F">
      <w:pPr>
        <w:ind w:left="-1276" w:right="-377" w:firstLine="283"/>
        <w:jc w:val="both"/>
        <w:rPr>
          <w:rFonts w:cs="Arial"/>
          <w:b/>
          <w:bCs/>
          <w:sz w:val="22"/>
          <w:szCs w:val="22"/>
        </w:rPr>
      </w:pPr>
      <w:r w:rsidRPr="00EB4E4F">
        <w:rPr>
          <w:rFonts w:eastAsia="Arial" w:cs="Arial"/>
          <w:b/>
          <w:bCs/>
          <w:sz w:val="18"/>
          <w:szCs w:val="18"/>
        </w:rPr>
        <w:t>Revisó</w:t>
      </w:r>
      <w:r w:rsidR="0475AF77" w:rsidRPr="00EB4E4F">
        <w:rPr>
          <w:rFonts w:eastAsia="Arial" w:cs="Arial"/>
          <w:b/>
          <w:bCs/>
          <w:sz w:val="18"/>
          <w:szCs w:val="18"/>
        </w:rPr>
        <w:t xml:space="preserve">: </w:t>
      </w:r>
    </w:p>
    <w:sectPr w:rsidR="00AA7AB3" w:rsidRPr="00EB4E4F" w:rsidSect="00D341C2">
      <w:headerReference w:type="default" r:id="rId8"/>
      <w:footerReference w:type="default" r:id="rId9"/>
      <w:headerReference w:type="first" r:id="rId10"/>
      <w:type w:val="continuous"/>
      <w:pgSz w:w="12240" w:h="15840" w:code="1"/>
      <w:pgMar w:top="1616" w:right="1701" w:bottom="1115"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3B2AF" w14:textId="77777777" w:rsidR="000458F5" w:rsidRDefault="000458F5">
      <w:r>
        <w:separator/>
      </w:r>
    </w:p>
  </w:endnote>
  <w:endnote w:type="continuationSeparator" w:id="0">
    <w:p w14:paraId="412EF9B0" w14:textId="77777777" w:rsidR="000458F5" w:rsidRDefault="0004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9775" w14:textId="77777777" w:rsidR="00836C6A" w:rsidRDefault="00836C6A">
    <w:pPr>
      <w:pStyle w:val="Piedepgina"/>
      <w:jc w:val="right"/>
    </w:pPr>
    <w:r>
      <w:fldChar w:fldCharType="begin"/>
    </w:r>
    <w:r w:rsidR="00A120D6">
      <w:instrText>PAGE</w:instrText>
    </w:r>
    <w:r>
      <w:instrText xml:space="preserve">   \* MERGEFORMAT</w:instrText>
    </w:r>
    <w:r>
      <w:fldChar w:fldCharType="separate"/>
    </w:r>
    <w:r w:rsidR="00D67FF7">
      <w:rPr>
        <w:noProof/>
      </w:rPr>
      <w:t>7</w:t>
    </w:r>
    <w:r>
      <w:fldChar w:fldCharType="end"/>
    </w:r>
  </w:p>
  <w:p w14:paraId="5043CB0F" w14:textId="77777777" w:rsidR="00F07A7D" w:rsidRPr="0084294E" w:rsidRDefault="00F07A7D" w:rsidP="00FA4A9E">
    <w:pPr>
      <w:pStyle w:val="Piedepgina"/>
      <w:jc w:val="center"/>
      <w:rPr>
        <w:sz w:val="18"/>
        <w:szCs w:val="18"/>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A4DEA" w14:textId="77777777" w:rsidR="000458F5" w:rsidRDefault="000458F5">
      <w:r>
        <w:separator/>
      </w:r>
    </w:p>
  </w:footnote>
  <w:footnote w:type="continuationSeparator" w:id="0">
    <w:p w14:paraId="736044E5" w14:textId="77777777" w:rsidR="000458F5" w:rsidRDefault="0004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5"/>
      <w:gridCol w:w="6113"/>
    </w:tblGrid>
    <w:tr w:rsidR="00637B5E" w14:paraId="78150ED2" w14:textId="77777777" w:rsidTr="00A71B8A">
      <w:tc>
        <w:tcPr>
          <w:tcW w:w="4253" w:type="dxa"/>
          <w:shd w:val="clear" w:color="auto" w:fill="auto"/>
        </w:tcPr>
        <w:p w14:paraId="6B699379" w14:textId="77777777" w:rsidR="00637B5E" w:rsidRPr="00467B90" w:rsidRDefault="006F2C61" w:rsidP="00637B5E">
          <w:pPr>
            <w:pStyle w:val="Encabezado"/>
            <w:rPr>
              <w:b/>
              <w:color w:val="FF0000"/>
            </w:rPr>
          </w:pPr>
          <w:r w:rsidRPr="00794859">
            <w:rPr>
              <w:noProof/>
              <w:lang w:val="es-CO" w:eastAsia="es-CO"/>
            </w:rPr>
            <w:drawing>
              <wp:inline distT="0" distB="0" distL="0" distR="0" wp14:anchorId="240DE2E2" wp14:editId="07777777">
                <wp:extent cx="2886075" cy="101917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1019175"/>
                        </a:xfrm>
                        <a:prstGeom prst="rect">
                          <a:avLst/>
                        </a:prstGeom>
                        <a:noFill/>
                        <a:ln>
                          <a:noFill/>
                        </a:ln>
                      </pic:spPr>
                    </pic:pic>
                  </a:graphicData>
                </a:graphic>
              </wp:inline>
            </w:drawing>
          </w:r>
        </w:p>
      </w:tc>
      <w:tc>
        <w:tcPr>
          <w:tcW w:w="6545" w:type="dxa"/>
          <w:shd w:val="clear" w:color="auto" w:fill="auto"/>
          <w:vAlign w:val="center"/>
        </w:tcPr>
        <w:p w14:paraId="0A5863A5" w14:textId="77777777" w:rsidR="00637B5E" w:rsidRPr="00467B90" w:rsidRDefault="00637B5E" w:rsidP="00637B5E">
          <w:pPr>
            <w:pStyle w:val="Ttulo2"/>
            <w:ind w:left="72" w:right="72"/>
          </w:pPr>
          <w:r w:rsidRPr="00637B5E">
            <w:rPr>
              <w:rFonts w:cs="Arial"/>
              <w:bCs/>
              <w:color w:val="000000"/>
              <w:sz w:val="24"/>
              <w:szCs w:val="24"/>
            </w:rPr>
            <w:t>FORMATO MEMORIA JUSTIFICATIVA</w:t>
          </w:r>
        </w:p>
      </w:tc>
    </w:tr>
  </w:tbl>
  <w:p w14:paraId="3FE9F23F" w14:textId="77777777" w:rsidR="00F07A7D" w:rsidRDefault="00F07A7D">
    <w:pPr>
      <w:pStyle w:val="Encabezado"/>
    </w:pPr>
  </w:p>
  <w:p w14:paraId="1F72F646" w14:textId="77777777" w:rsidR="00F07A7D" w:rsidRDefault="00F07A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5"/>
      <w:gridCol w:w="6113"/>
    </w:tblGrid>
    <w:tr w:rsidR="00350767" w14:paraId="39BFBC09" w14:textId="77777777" w:rsidTr="00637B5E">
      <w:tc>
        <w:tcPr>
          <w:tcW w:w="4253" w:type="dxa"/>
          <w:shd w:val="clear" w:color="auto" w:fill="auto"/>
        </w:tcPr>
        <w:p w14:paraId="52E56223" w14:textId="77777777" w:rsidR="00350767" w:rsidRPr="00467B90" w:rsidRDefault="006F2C61">
          <w:pPr>
            <w:pStyle w:val="Encabezado"/>
            <w:rPr>
              <w:b/>
              <w:color w:val="FF0000"/>
            </w:rPr>
          </w:pPr>
          <w:r w:rsidRPr="00794859">
            <w:rPr>
              <w:noProof/>
              <w:lang w:val="es-CO" w:eastAsia="es-CO"/>
            </w:rPr>
            <w:drawing>
              <wp:inline distT="0" distB="0" distL="0" distR="0" wp14:anchorId="6C447137" wp14:editId="07777777">
                <wp:extent cx="2886075" cy="101917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1019175"/>
                        </a:xfrm>
                        <a:prstGeom prst="rect">
                          <a:avLst/>
                        </a:prstGeom>
                        <a:noFill/>
                        <a:ln>
                          <a:noFill/>
                        </a:ln>
                      </pic:spPr>
                    </pic:pic>
                  </a:graphicData>
                </a:graphic>
              </wp:inline>
            </w:drawing>
          </w:r>
        </w:p>
      </w:tc>
      <w:tc>
        <w:tcPr>
          <w:tcW w:w="6545" w:type="dxa"/>
          <w:shd w:val="clear" w:color="auto" w:fill="auto"/>
          <w:vAlign w:val="center"/>
        </w:tcPr>
        <w:p w14:paraId="45AB840F" w14:textId="77777777" w:rsidR="00350767" w:rsidRPr="00467B90" w:rsidRDefault="00350767" w:rsidP="00637B5E">
          <w:pPr>
            <w:pStyle w:val="Ttulo2"/>
            <w:ind w:left="72" w:right="72"/>
          </w:pPr>
          <w:r w:rsidRPr="00637B5E">
            <w:rPr>
              <w:rFonts w:cs="Arial"/>
              <w:bCs/>
              <w:color w:val="000000"/>
              <w:sz w:val="24"/>
              <w:szCs w:val="24"/>
            </w:rPr>
            <w:t>FORMATO MEMORIA JUSTIFICATIVA</w:t>
          </w:r>
        </w:p>
      </w:tc>
    </w:tr>
  </w:tbl>
  <w:p w14:paraId="07547A01" w14:textId="77777777" w:rsidR="00350767" w:rsidRDefault="003507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75F6"/>
    <w:multiLevelType w:val="multilevel"/>
    <w:tmpl w:val="7BDE9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D2AAA"/>
    <w:multiLevelType w:val="multilevel"/>
    <w:tmpl w:val="B63E05F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6244868"/>
    <w:multiLevelType w:val="multilevel"/>
    <w:tmpl w:val="216E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5E64A9"/>
    <w:multiLevelType w:val="hybridMultilevel"/>
    <w:tmpl w:val="8E4EC3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B754647"/>
    <w:multiLevelType w:val="hybridMultilevel"/>
    <w:tmpl w:val="BA98CF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F684173"/>
    <w:multiLevelType w:val="hybridMultilevel"/>
    <w:tmpl w:val="2340A318"/>
    <w:lvl w:ilvl="0" w:tplc="0CB492FE">
      <w:numFmt w:val="bullet"/>
      <w:lvlText w:val="•"/>
      <w:lvlJc w:val="left"/>
      <w:pPr>
        <w:ind w:left="786" w:hanging="360"/>
      </w:pPr>
      <w:rPr>
        <w:rFonts w:ascii="Arial" w:eastAsia="Calibri" w:hAnsi="Aria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6">
    <w:nsid w:val="13DB63AC"/>
    <w:multiLevelType w:val="hybridMultilevel"/>
    <w:tmpl w:val="7FE61D8A"/>
    <w:lvl w:ilvl="0" w:tplc="0CB492FE">
      <w:numFmt w:val="bullet"/>
      <w:lvlText w:val="•"/>
      <w:lvlJc w:val="left"/>
      <w:pPr>
        <w:ind w:left="786" w:hanging="360"/>
      </w:pPr>
      <w:rPr>
        <w:rFonts w:ascii="Arial" w:eastAsia="Calibri" w:hAnsi="Aria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7">
    <w:nsid w:val="18E122DF"/>
    <w:multiLevelType w:val="hybridMultilevel"/>
    <w:tmpl w:val="DE2CEB0C"/>
    <w:lvl w:ilvl="0" w:tplc="0CB492F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E707088"/>
    <w:multiLevelType w:val="hybridMultilevel"/>
    <w:tmpl w:val="ABF6AD92"/>
    <w:lvl w:ilvl="0" w:tplc="0CB492F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D18EA"/>
    <w:multiLevelType w:val="hybridMultilevel"/>
    <w:tmpl w:val="D640F20E"/>
    <w:lvl w:ilvl="0" w:tplc="BC128028">
      <w:start w:val="3"/>
      <w:numFmt w:val="decimal"/>
      <w:lvlText w:val="%1."/>
      <w:lvlJc w:val="left"/>
      <w:pPr>
        <w:ind w:left="720" w:hanging="360"/>
      </w:pPr>
    </w:lvl>
    <w:lvl w:ilvl="1" w:tplc="0652D86C">
      <w:start w:val="1"/>
      <w:numFmt w:val="lowerLetter"/>
      <w:lvlText w:val="%2."/>
      <w:lvlJc w:val="left"/>
      <w:pPr>
        <w:ind w:left="1440" w:hanging="360"/>
      </w:pPr>
    </w:lvl>
    <w:lvl w:ilvl="2" w:tplc="5240CA4E">
      <w:start w:val="1"/>
      <w:numFmt w:val="lowerRoman"/>
      <w:lvlText w:val="%3."/>
      <w:lvlJc w:val="right"/>
      <w:pPr>
        <w:ind w:left="2160" w:hanging="180"/>
      </w:pPr>
    </w:lvl>
    <w:lvl w:ilvl="3" w:tplc="C7EC2FA8">
      <w:start w:val="1"/>
      <w:numFmt w:val="decimal"/>
      <w:lvlText w:val="%4."/>
      <w:lvlJc w:val="left"/>
      <w:pPr>
        <w:ind w:left="2880" w:hanging="360"/>
      </w:pPr>
    </w:lvl>
    <w:lvl w:ilvl="4" w:tplc="B97ECD72">
      <w:start w:val="1"/>
      <w:numFmt w:val="lowerLetter"/>
      <w:lvlText w:val="%5."/>
      <w:lvlJc w:val="left"/>
      <w:pPr>
        <w:ind w:left="3600" w:hanging="360"/>
      </w:pPr>
    </w:lvl>
    <w:lvl w:ilvl="5" w:tplc="02F6E0E2">
      <w:start w:val="1"/>
      <w:numFmt w:val="lowerRoman"/>
      <w:lvlText w:val="%6."/>
      <w:lvlJc w:val="right"/>
      <w:pPr>
        <w:ind w:left="4320" w:hanging="180"/>
      </w:pPr>
    </w:lvl>
    <w:lvl w:ilvl="6" w:tplc="F45AAD9C">
      <w:start w:val="1"/>
      <w:numFmt w:val="decimal"/>
      <w:lvlText w:val="%7."/>
      <w:lvlJc w:val="left"/>
      <w:pPr>
        <w:ind w:left="5040" w:hanging="360"/>
      </w:pPr>
    </w:lvl>
    <w:lvl w:ilvl="7" w:tplc="D5B62E8A">
      <w:start w:val="1"/>
      <w:numFmt w:val="lowerLetter"/>
      <w:lvlText w:val="%8."/>
      <w:lvlJc w:val="left"/>
      <w:pPr>
        <w:ind w:left="5760" w:hanging="360"/>
      </w:pPr>
    </w:lvl>
    <w:lvl w:ilvl="8" w:tplc="C054D90A">
      <w:start w:val="1"/>
      <w:numFmt w:val="lowerRoman"/>
      <w:lvlText w:val="%9."/>
      <w:lvlJc w:val="right"/>
      <w:pPr>
        <w:ind w:left="6480" w:hanging="180"/>
      </w:pPr>
    </w:lvl>
  </w:abstractNum>
  <w:abstractNum w:abstractNumId="10">
    <w:nsid w:val="1F3D1889"/>
    <w:multiLevelType w:val="hybridMultilevel"/>
    <w:tmpl w:val="4966536C"/>
    <w:lvl w:ilvl="0" w:tplc="CB8E9BFA">
      <w:start w:val="1"/>
      <w:numFmt w:val="decimal"/>
      <w:lvlText w:val="%1."/>
      <w:lvlJc w:val="left"/>
      <w:pPr>
        <w:ind w:left="720" w:hanging="360"/>
      </w:pPr>
      <w:rPr>
        <w:i w:val="0"/>
        <w:i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298640F"/>
    <w:multiLevelType w:val="hybridMultilevel"/>
    <w:tmpl w:val="4B60324A"/>
    <w:lvl w:ilvl="0" w:tplc="A6046E06">
      <w:start w:val="1"/>
      <w:numFmt w:val="decimal"/>
      <w:lvlText w:val="%1."/>
      <w:lvlJc w:val="left"/>
      <w:pPr>
        <w:ind w:left="786" w:hanging="360"/>
      </w:pPr>
    </w:lvl>
    <w:lvl w:ilvl="1" w:tplc="5A12E70E">
      <w:start w:val="1"/>
      <w:numFmt w:val="lowerLetter"/>
      <w:lvlText w:val="%2."/>
      <w:lvlJc w:val="left"/>
      <w:pPr>
        <w:ind w:left="1506" w:hanging="360"/>
      </w:pPr>
    </w:lvl>
    <w:lvl w:ilvl="2" w:tplc="8E68C264">
      <w:start w:val="1"/>
      <w:numFmt w:val="lowerRoman"/>
      <w:lvlText w:val="%3."/>
      <w:lvlJc w:val="right"/>
      <w:pPr>
        <w:ind w:left="2226" w:hanging="180"/>
      </w:pPr>
    </w:lvl>
    <w:lvl w:ilvl="3" w:tplc="1312D610">
      <w:start w:val="1"/>
      <w:numFmt w:val="decimal"/>
      <w:lvlText w:val="%4."/>
      <w:lvlJc w:val="left"/>
      <w:pPr>
        <w:ind w:left="2946" w:hanging="360"/>
      </w:pPr>
    </w:lvl>
    <w:lvl w:ilvl="4" w:tplc="A4165D24">
      <w:start w:val="1"/>
      <w:numFmt w:val="lowerLetter"/>
      <w:lvlText w:val="%5."/>
      <w:lvlJc w:val="left"/>
      <w:pPr>
        <w:ind w:left="3666" w:hanging="360"/>
      </w:pPr>
    </w:lvl>
    <w:lvl w:ilvl="5" w:tplc="A0C8C584">
      <w:start w:val="1"/>
      <w:numFmt w:val="lowerRoman"/>
      <w:lvlText w:val="%6."/>
      <w:lvlJc w:val="right"/>
      <w:pPr>
        <w:ind w:left="4386" w:hanging="180"/>
      </w:pPr>
    </w:lvl>
    <w:lvl w:ilvl="6" w:tplc="03B6B0A8">
      <w:start w:val="1"/>
      <w:numFmt w:val="decimal"/>
      <w:lvlText w:val="%7."/>
      <w:lvlJc w:val="left"/>
      <w:pPr>
        <w:ind w:left="5106" w:hanging="360"/>
      </w:pPr>
    </w:lvl>
    <w:lvl w:ilvl="7" w:tplc="B4104394">
      <w:start w:val="1"/>
      <w:numFmt w:val="lowerLetter"/>
      <w:lvlText w:val="%8."/>
      <w:lvlJc w:val="left"/>
      <w:pPr>
        <w:ind w:left="5826" w:hanging="360"/>
      </w:pPr>
    </w:lvl>
    <w:lvl w:ilvl="8" w:tplc="D8248502">
      <w:start w:val="1"/>
      <w:numFmt w:val="lowerRoman"/>
      <w:lvlText w:val="%9."/>
      <w:lvlJc w:val="right"/>
      <w:pPr>
        <w:ind w:left="6546" w:hanging="180"/>
      </w:pPr>
    </w:lvl>
  </w:abstractNum>
  <w:abstractNum w:abstractNumId="12">
    <w:nsid w:val="26CD40AC"/>
    <w:multiLevelType w:val="hybridMultilevel"/>
    <w:tmpl w:val="8F065796"/>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nsid w:val="29C352D4"/>
    <w:multiLevelType w:val="hybridMultilevel"/>
    <w:tmpl w:val="7C8C8BE2"/>
    <w:lvl w:ilvl="0" w:tplc="E23CC778">
      <w:start w:val="3"/>
      <w:numFmt w:val="bullet"/>
      <w:lvlText w:val="-"/>
      <w:lvlJc w:val="left"/>
      <w:pPr>
        <w:ind w:left="1068" w:hanging="360"/>
      </w:pPr>
      <w:rPr>
        <w:rFonts w:ascii="Arial" w:eastAsia="Times New Roman"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nsid w:val="2A1E0335"/>
    <w:multiLevelType w:val="hybridMultilevel"/>
    <w:tmpl w:val="F70291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C8D575C"/>
    <w:multiLevelType w:val="hybridMultilevel"/>
    <w:tmpl w:val="D348305C"/>
    <w:lvl w:ilvl="0" w:tplc="240A000F">
      <w:start w:val="1"/>
      <w:numFmt w:val="decimal"/>
      <w:lvlText w:val="%1."/>
      <w:lvlJc w:val="left"/>
      <w:pPr>
        <w:ind w:left="720" w:hanging="360"/>
      </w:pPr>
      <w:rPr>
        <w:rFonts w:hint="default"/>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88B7336"/>
    <w:multiLevelType w:val="hybridMultilevel"/>
    <w:tmpl w:val="EA60FE72"/>
    <w:lvl w:ilvl="0" w:tplc="B84601A4">
      <w:numFmt w:val="bullet"/>
      <w:lvlText w:val="•"/>
      <w:lvlJc w:val="left"/>
      <w:pPr>
        <w:ind w:left="720" w:hanging="360"/>
      </w:pPr>
      <w:rPr>
        <w:rFonts w:hint="default"/>
        <w:lang w:val="es-ES" w:eastAsia="en-US" w:bidi="ar-SA"/>
      </w:rPr>
    </w:lvl>
    <w:lvl w:ilvl="1" w:tplc="0CB492FE">
      <w:numFmt w:val="bullet"/>
      <w:lvlText w:val="•"/>
      <w:lvlJc w:val="left"/>
      <w:pPr>
        <w:ind w:left="1785" w:hanging="705"/>
      </w:pPr>
      <w:rPr>
        <w:rFonts w:ascii="Arial" w:eastAsia="Calibr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9A77E80"/>
    <w:multiLevelType w:val="hybridMultilevel"/>
    <w:tmpl w:val="B2C482CA"/>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8">
    <w:nsid w:val="3A452714"/>
    <w:multiLevelType w:val="hybridMultilevel"/>
    <w:tmpl w:val="B0346C78"/>
    <w:lvl w:ilvl="0" w:tplc="0CB492FE">
      <w:numFmt w:val="bullet"/>
      <w:lvlText w:val="•"/>
      <w:lvlJc w:val="left"/>
      <w:pPr>
        <w:ind w:left="786" w:hanging="360"/>
      </w:pPr>
      <w:rPr>
        <w:rFonts w:ascii="Arial" w:eastAsia="Calibri" w:hAnsi="Aria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9">
    <w:nsid w:val="3C356E14"/>
    <w:multiLevelType w:val="hybridMultilevel"/>
    <w:tmpl w:val="945AD1D6"/>
    <w:lvl w:ilvl="0" w:tplc="FA369B0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41B1284"/>
    <w:multiLevelType w:val="multilevel"/>
    <w:tmpl w:val="4760B3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B997A0A"/>
    <w:multiLevelType w:val="multilevel"/>
    <w:tmpl w:val="DB12D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3">
    <w:nsid w:val="4FAD59A8"/>
    <w:multiLevelType w:val="hybridMultilevel"/>
    <w:tmpl w:val="2F7051AE"/>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4">
    <w:nsid w:val="4FDB56D6"/>
    <w:multiLevelType w:val="hybridMultilevel"/>
    <w:tmpl w:val="40C083F4"/>
    <w:lvl w:ilvl="0" w:tplc="E23CC778">
      <w:start w:val="3"/>
      <w:numFmt w:val="bullet"/>
      <w:lvlText w:val="-"/>
      <w:lvlJc w:val="left"/>
      <w:pPr>
        <w:ind w:left="1080" w:hanging="360"/>
      </w:pPr>
      <w:rPr>
        <w:rFonts w:ascii="Arial" w:eastAsia="Times New Roman" w:hAnsi="Arial" w:cs="Arial" w:hint="default"/>
      </w:rPr>
    </w:lvl>
    <w:lvl w:ilvl="1" w:tplc="240A000F">
      <w:start w:val="1"/>
      <w:numFmt w:val="decimal"/>
      <w:lvlText w:val="%2."/>
      <w:lvlJc w:val="left"/>
      <w:pPr>
        <w:ind w:left="1800" w:hanging="360"/>
      </w:p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nsid w:val="51E32FFA"/>
    <w:multiLevelType w:val="hybridMultilevel"/>
    <w:tmpl w:val="50D45216"/>
    <w:lvl w:ilvl="0" w:tplc="B84601A4">
      <w:numFmt w:val="bullet"/>
      <w:lvlText w:val="•"/>
      <w:lvlJc w:val="left"/>
      <w:pPr>
        <w:ind w:left="720" w:hanging="360"/>
      </w:pPr>
      <w:rPr>
        <w:rFonts w:hint="default"/>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5A85E5E"/>
    <w:multiLevelType w:val="hybridMultilevel"/>
    <w:tmpl w:val="28C46E78"/>
    <w:lvl w:ilvl="0" w:tplc="0CB492FE">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3FC192E"/>
    <w:multiLevelType w:val="hybridMultilevel"/>
    <w:tmpl w:val="6CE4CEFA"/>
    <w:lvl w:ilvl="0" w:tplc="E23CC778">
      <w:start w:val="3"/>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nsid w:val="75214619"/>
    <w:multiLevelType w:val="hybridMultilevel"/>
    <w:tmpl w:val="0680B4B4"/>
    <w:lvl w:ilvl="0" w:tplc="0CB492FE">
      <w:numFmt w:val="bullet"/>
      <w:lvlText w:val="•"/>
      <w:lvlJc w:val="left"/>
      <w:pPr>
        <w:ind w:left="786" w:hanging="360"/>
      </w:pPr>
      <w:rPr>
        <w:rFonts w:ascii="Arial" w:eastAsia="Calibri" w:hAnsi="Arial" w:cs="Aria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9">
    <w:nsid w:val="763E7953"/>
    <w:multiLevelType w:val="multilevel"/>
    <w:tmpl w:val="6DE67CB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15"/>
  </w:num>
  <w:num w:numId="4">
    <w:abstractNumId w:val="21"/>
  </w:num>
  <w:num w:numId="5">
    <w:abstractNumId w:val="20"/>
  </w:num>
  <w:num w:numId="6">
    <w:abstractNumId w:val="16"/>
  </w:num>
  <w:num w:numId="7">
    <w:abstractNumId w:val="18"/>
  </w:num>
  <w:num w:numId="8">
    <w:abstractNumId w:val="5"/>
  </w:num>
  <w:num w:numId="9">
    <w:abstractNumId w:val="8"/>
  </w:num>
  <w:num w:numId="10">
    <w:abstractNumId w:val="25"/>
  </w:num>
  <w:num w:numId="11">
    <w:abstractNumId w:val="24"/>
  </w:num>
  <w:num w:numId="12">
    <w:abstractNumId w:val="4"/>
  </w:num>
  <w:num w:numId="13">
    <w:abstractNumId w:val="28"/>
  </w:num>
  <w:num w:numId="14">
    <w:abstractNumId w:val="26"/>
  </w:num>
  <w:num w:numId="15">
    <w:abstractNumId w:val="6"/>
  </w:num>
  <w:num w:numId="16">
    <w:abstractNumId w:val="19"/>
  </w:num>
  <w:num w:numId="17">
    <w:abstractNumId w:val="12"/>
  </w:num>
  <w:num w:numId="18">
    <w:abstractNumId w:val="7"/>
  </w:num>
  <w:num w:numId="19">
    <w:abstractNumId w:val="27"/>
  </w:num>
  <w:num w:numId="20">
    <w:abstractNumId w:val="23"/>
  </w:num>
  <w:num w:numId="21">
    <w:abstractNumId w:val="17"/>
  </w:num>
  <w:num w:numId="22">
    <w:abstractNumId w:val="1"/>
  </w:num>
  <w:num w:numId="23">
    <w:abstractNumId w:val="29"/>
  </w:num>
  <w:num w:numId="24">
    <w:abstractNumId w:val="14"/>
  </w:num>
  <w:num w:numId="25">
    <w:abstractNumId w:val="22"/>
  </w:num>
  <w:num w:numId="26">
    <w:abstractNumId w:val="13"/>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80"/>
    <w:rsid w:val="00003D24"/>
    <w:rsid w:val="00006F83"/>
    <w:rsid w:val="00007F07"/>
    <w:rsid w:val="00010D67"/>
    <w:rsid w:val="00013C42"/>
    <w:rsid w:val="00014D67"/>
    <w:rsid w:val="00016A94"/>
    <w:rsid w:val="00021FCC"/>
    <w:rsid w:val="00024F34"/>
    <w:rsid w:val="0002546A"/>
    <w:rsid w:val="00032CBF"/>
    <w:rsid w:val="0003463B"/>
    <w:rsid w:val="0004205E"/>
    <w:rsid w:val="00044C00"/>
    <w:rsid w:val="000458F5"/>
    <w:rsid w:val="00047A6E"/>
    <w:rsid w:val="00050524"/>
    <w:rsid w:val="00060DC7"/>
    <w:rsid w:val="000634EA"/>
    <w:rsid w:val="00066463"/>
    <w:rsid w:val="0007636F"/>
    <w:rsid w:val="00081CEE"/>
    <w:rsid w:val="00084B49"/>
    <w:rsid w:val="00084F6B"/>
    <w:rsid w:val="00086B16"/>
    <w:rsid w:val="0008730E"/>
    <w:rsid w:val="00092C0A"/>
    <w:rsid w:val="00093317"/>
    <w:rsid w:val="00094D9F"/>
    <w:rsid w:val="00094E67"/>
    <w:rsid w:val="000A35DA"/>
    <w:rsid w:val="000A3E34"/>
    <w:rsid w:val="000A4326"/>
    <w:rsid w:val="000A663E"/>
    <w:rsid w:val="000B1DA1"/>
    <w:rsid w:val="000B30A6"/>
    <w:rsid w:val="000B39C5"/>
    <w:rsid w:val="000B50F1"/>
    <w:rsid w:val="000C41BE"/>
    <w:rsid w:val="000C52ED"/>
    <w:rsid w:val="000C614C"/>
    <w:rsid w:val="000C6B5B"/>
    <w:rsid w:val="000C6C52"/>
    <w:rsid w:val="000C6EED"/>
    <w:rsid w:val="000D1904"/>
    <w:rsid w:val="000D2DA8"/>
    <w:rsid w:val="000D512E"/>
    <w:rsid w:val="000E0152"/>
    <w:rsid w:val="000E0579"/>
    <w:rsid w:val="000E370D"/>
    <w:rsid w:val="000E65A4"/>
    <w:rsid w:val="000F6E37"/>
    <w:rsid w:val="00103535"/>
    <w:rsid w:val="00105533"/>
    <w:rsid w:val="001072FB"/>
    <w:rsid w:val="00107BB4"/>
    <w:rsid w:val="00110F0F"/>
    <w:rsid w:val="00116659"/>
    <w:rsid w:val="001175AA"/>
    <w:rsid w:val="00117DD1"/>
    <w:rsid w:val="0012480B"/>
    <w:rsid w:val="00125A3A"/>
    <w:rsid w:val="00126916"/>
    <w:rsid w:val="00126980"/>
    <w:rsid w:val="001303DD"/>
    <w:rsid w:val="001348DA"/>
    <w:rsid w:val="001365B5"/>
    <w:rsid w:val="00136CD0"/>
    <w:rsid w:val="0013737F"/>
    <w:rsid w:val="0013FE5D"/>
    <w:rsid w:val="00141777"/>
    <w:rsid w:val="00142BF2"/>
    <w:rsid w:val="001447C1"/>
    <w:rsid w:val="00145BCA"/>
    <w:rsid w:val="0015216F"/>
    <w:rsid w:val="00152723"/>
    <w:rsid w:val="00153523"/>
    <w:rsid w:val="00155620"/>
    <w:rsid w:val="00157729"/>
    <w:rsid w:val="00161386"/>
    <w:rsid w:val="0016234A"/>
    <w:rsid w:val="00164587"/>
    <w:rsid w:val="001665A3"/>
    <w:rsid w:val="00171EE4"/>
    <w:rsid w:val="00172ACD"/>
    <w:rsid w:val="001743EF"/>
    <w:rsid w:val="00174A31"/>
    <w:rsid w:val="00177232"/>
    <w:rsid w:val="00187186"/>
    <w:rsid w:val="001915B9"/>
    <w:rsid w:val="0019349B"/>
    <w:rsid w:val="001978EB"/>
    <w:rsid w:val="001A251F"/>
    <w:rsid w:val="001A2AF1"/>
    <w:rsid w:val="001A3387"/>
    <w:rsid w:val="001A4B97"/>
    <w:rsid w:val="001C013E"/>
    <w:rsid w:val="001D1743"/>
    <w:rsid w:val="001D17CF"/>
    <w:rsid w:val="001D1F33"/>
    <w:rsid w:val="001E2543"/>
    <w:rsid w:val="001E6C60"/>
    <w:rsid w:val="001E7812"/>
    <w:rsid w:val="001F238A"/>
    <w:rsid w:val="001F7CBB"/>
    <w:rsid w:val="00205C33"/>
    <w:rsid w:val="00210014"/>
    <w:rsid w:val="002171A2"/>
    <w:rsid w:val="002217D1"/>
    <w:rsid w:val="002264B8"/>
    <w:rsid w:val="0023072F"/>
    <w:rsid w:val="00232F81"/>
    <w:rsid w:val="00235361"/>
    <w:rsid w:val="00236F62"/>
    <w:rsid w:val="00237D76"/>
    <w:rsid w:val="00251FCE"/>
    <w:rsid w:val="00252F13"/>
    <w:rsid w:val="00254313"/>
    <w:rsid w:val="00261CAD"/>
    <w:rsid w:val="0026513E"/>
    <w:rsid w:val="002729A5"/>
    <w:rsid w:val="0027454F"/>
    <w:rsid w:val="002862C1"/>
    <w:rsid w:val="00286449"/>
    <w:rsid w:val="00287EC3"/>
    <w:rsid w:val="00293F29"/>
    <w:rsid w:val="002941D1"/>
    <w:rsid w:val="002A051E"/>
    <w:rsid w:val="002A2A12"/>
    <w:rsid w:val="002A6D8B"/>
    <w:rsid w:val="002B1CC1"/>
    <w:rsid w:val="002B4B96"/>
    <w:rsid w:val="002C00A3"/>
    <w:rsid w:val="002C05D0"/>
    <w:rsid w:val="002C6429"/>
    <w:rsid w:val="002C7ABA"/>
    <w:rsid w:val="002C7D41"/>
    <w:rsid w:val="002D096D"/>
    <w:rsid w:val="002D11FE"/>
    <w:rsid w:val="002D2CB2"/>
    <w:rsid w:val="002D35EC"/>
    <w:rsid w:val="002D3FE3"/>
    <w:rsid w:val="002D5E8B"/>
    <w:rsid w:val="002E1A04"/>
    <w:rsid w:val="002E4A97"/>
    <w:rsid w:val="002E6000"/>
    <w:rsid w:val="002E71C4"/>
    <w:rsid w:val="002F226A"/>
    <w:rsid w:val="002F732F"/>
    <w:rsid w:val="00301DC2"/>
    <w:rsid w:val="00313BCB"/>
    <w:rsid w:val="003227FD"/>
    <w:rsid w:val="00325A55"/>
    <w:rsid w:val="00330FB7"/>
    <w:rsid w:val="0033126D"/>
    <w:rsid w:val="003343DB"/>
    <w:rsid w:val="00336655"/>
    <w:rsid w:val="003414CD"/>
    <w:rsid w:val="00342B3C"/>
    <w:rsid w:val="00345FB5"/>
    <w:rsid w:val="00346554"/>
    <w:rsid w:val="00347086"/>
    <w:rsid w:val="003478CE"/>
    <w:rsid w:val="003503EB"/>
    <w:rsid w:val="00350767"/>
    <w:rsid w:val="00350E4B"/>
    <w:rsid w:val="003533A1"/>
    <w:rsid w:val="003579C8"/>
    <w:rsid w:val="0036197A"/>
    <w:rsid w:val="00364C65"/>
    <w:rsid w:val="003651DE"/>
    <w:rsid w:val="003673D5"/>
    <w:rsid w:val="00367CB8"/>
    <w:rsid w:val="00370948"/>
    <w:rsid w:val="003711C0"/>
    <w:rsid w:val="00372D3E"/>
    <w:rsid w:val="00373197"/>
    <w:rsid w:val="0038390A"/>
    <w:rsid w:val="00391BC5"/>
    <w:rsid w:val="003A0BBF"/>
    <w:rsid w:val="003A3C08"/>
    <w:rsid w:val="003A6449"/>
    <w:rsid w:val="003A73D2"/>
    <w:rsid w:val="003B1CFB"/>
    <w:rsid w:val="003B3F46"/>
    <w:rsid w:val="003B4DDE"/>
    <w:rsid w:val="003B625C"/>
    <w:rsid w:val="003C0C28"/>
    <w:rsid w:val="003C0F32"/>
    <w:rsid w:val="003C6344"/>
    <w:rsid w:val="003C6CAC"/>
    <w:rsid w:val="003D3516"/>
    <w:rsid w:val="003D6420"/>
    <w:rsid w:val="003D7D76"/>
    <w:rsid w:val="003E1394"/>
    <w:rsid w:val="003E582F"/>
    <w:rsid w:val="003F05C7"/>
    <w:rsid w:val="003F4936"/>
    <w:rsid w:val="00401B59"/>
    <w:rsid w:val="00404D5E"/>
    <w:rsid w:val="00405CE5"/>
    <w:rsid w:val="0041604F"/>
    <w:rsid w:val="00427DD9"/>
    <w:rsid w:val="004317DB"/>
    <w:rsid w:val="00431FD5"/>
    <w:rsid w:val="00432C5C"/>
    <w:rsid w:val="0043420E"/>
    <w:rsid w:val="00437C19"/>
    <w:rsid w:val="00444CBE"/>
    <w:rsid w:val="0045222B"/>
    <w:rsid w:val="00456B45"/>
    <w:rsid w:val="00461D1F"/>
    <w:rsid w:val="00467B90"/>
    <w:rsid w:val="00470148"/>
    <w:rsid w:val="00470526"/>
    <w:rsid w:val="004759B5"/>
    <w:rsid w:val="004848A4"/>
    <w:rsid w:val="00487067"/>
    <w:rsid w:val="00491D55"/>
    <w:rsid w:val="004969B3"/>
    <w:rsid w:val="004A0755"/>
    <w:rsid w:val="004A6BE3"/>
    <w:rsid w:val="004B078F"/>
    <w:rsid w:val="004B61AC"/>
    <w:rsid w:val="004C1F25"/>
    <w:rsid w:val="004C2AE9"/>
    <w:rsid w:val="004C4371"/>
    <w:rsid w:val="004C7D38"/>
    <w:rsid w:val="004D0D86"/>
    <w:rsid w:val="004D10C6"/>
    <w:rsid w:val="004D21E6"/>
    <w:rsid w:val="004D2643"/>
    <w:rsid w:val="004D294E"/>
    <w:rsid w:val="004D3D03"/>
    <w:rsid w:val="004D4586"/>
    <w:rsid w:val="004D6329"/>
    <w:rsid w:val="004E034B"/>
    <w:rsid w:val="004E17FC"/>
    <w:rsid w:val="004E274E"/>
    <w:rsid w:val="004E517F"/>
    <w:rsid w:val="004F778E"/>
    <w:rsid w:val="004F7A38"/>
    <w:rsid w:val="0050148F"/>
    <w:rsid w:val="00502F91"/>
    <w:rsid w:val="00515B67"/>
    <w:rsid w:val="00520AAA"/>
    <w:rsid w:val="00520B2A"/>
    <w:rsid w:val="00527B2C"/>
    <w:rsid w:val="005338E4"/>
    <w:rsid w:val="00541F42"/>
    <w:rsid w:val="00542745"/>
    <w:rsid w:val="0054286C"/>
    <w:rsid w:val="00543E5A"/>
    <w:rsid w:val="00545A32"/>
    <w:rsid w:val="0054645F"/>
    <w:rsid w:val="00551919"/>
    <w:rsid w:val="005616ED"/>
    <w:rsid w:val="005629D0"/>
    <w:rsid w:val="00564A4E"/>
    <w:rsid w:val="00580343"/>
    <w:rsid w:val="005815B6"/>
    <w:rsid w:val="00584E85"/>
    <w:rsid w:val="005871DA"/>
    <w:rsid w:val="00587695"/>
    <w:rsid w:val="0059054D"/>
    <w:rsid w:val="0059316B"/>
    <w:rsid w:val="005949A8"/>
    <w:rsid w:val="005A077D"/>
    <w:rsid w:val="005A1E23"/>
    <w:rsid w:val="005A4320"/>
    <w:rsid w:val="005A498D"/>
    <w:rsid w:val="005A7361"/>
    <w:rsid w:val="005B273A"/>
    <w:rsid w:val="005B61C5"/>
    <w:rsid w:val="005C1758"/>
    <w:rsid w:val="005C19CA"/>
    <w:rsid w:val="005C1B5C"/>
    <w:rsid w:val="005C4522"/>
    <w:rsid w:val="005C6A91"/>
    <w:rsid w:val="005D06D3"/>
    <w:rsid w:val="005D45F4"/>
    <w:rsid w:val="005D49BF"/>
    <w:rsid w:val="005D74EB"/>
    <w:rsid w:val="005E4141"/>
    <w:rsid w:val="005F30C3"/>
    <w:rsid w:val="005F393F"/>
    <w:rsid w:val="005F7863"/>
    <w:rsid w:val="0060190A"/>
    <w:rsid w:val="0060353B"/>
    <w:rsid w:val="006050F1"/>
    <w:rsid w:val="006155D4"/>
    <w:rsid w:val="00620876"/>
    <w:rsid w:val="00622594"/>
    <w:rsid w:val="00624FD0"/>
    <w:rsid w:val="00630C5E"/>
    <w:rsid w:val="006315B4"/>
    <w:rsid w:val="00635AC3"/>
    <w:rsid w:val="00636FFB"/>
    <w:rsid w:val="00637B5E"/>
    <w:rsid w:val="00641DEB"/>
    <w:rsid w:val="00642A3E"/>
    <w:rsid w:val="00652CAB"/>
    <w:rsid w:val="00653222"/>
    <w:rsid w:val="00654CCF"/>
    <w:rsid w:val="00665F82"/>
    <w:rsid w:val="006706E5"/>
    <w:rsid w:val="0067186C"/>
    <w:rsid w:val="00671E11"/>
    <w:rsid w:val="006779DA"/>
    <w:rsid w:val="00687EB3"/>
    <w:rsid w:val="00692980"/>
    <w:rsid w:val="00693246"/>
    <w:rsid w:val="0069506F"/>
    <w:rsid w:val="00696582"/>
    <w:rsid w:val="006A10DF"/>
    <w:rsid w:val="006A1124"/>
    <w:rsid w:val="006A1DBB"/>
    <w:rsid w:val="006B4E40"/>
    <w:rsid w:val="006B5030"/>
    <w:rsid w:val="006B5DD4"/>
    <w:rsid w:val="006C103A"/>
    <w:rsid w:val="006C4E6A"/>
    <w:rsid w:val="006C50E8"/>
    <w:rsid w:val="006D464D"/>
    <w:rsid w:val="006D5855"/>
    <w:rsid w:val="006E20C1"/>
    <w:rsid w:val="006E6F11"/>
    <w:rsid w:val="006F0B6B"/>
    <w:rsid w:val="006F0F48"/>
    <w:rsid w:val="006F144D"/>
    <w:rsid w:val="006F2C61"/>
    <w:rsid w:val="006F349A"/>
    <w:rsid w:val="006F461B"/>
    <w:rsid w:val="006F622C"/>
    <w:rsid w:val="006F7962"/>
    <w:rsid w:val="006F7A2C"/>
    <w:rsid w:val="00700FF6"/>
    <w:rsid w:val="007016E5"/>
    <w:rsid w:val="00704D44"/>
    <w:rsid w:val="00706E2E"/>
    <w:rsid w:val="0071153B"/>
    <w:rsid w:val="00712150"/>
    <w:rsid w:val="00712F4A"/>
    <w:rsid w:val="00713043"/>
    <w:rsid w:val="00715A68"/>
    <w:rsid w:val="00715DD5"/>
    <w:rsid w:val="00715ECF"/>
    <w:rsid w:val="007160D2"/>
    <w:rsid w:val="00717A04"/>
    <w:rsid w:val="00717ACC"/>
    <w:rsid w:val="00717BFE"/>
    <w:rsid w:val="007208C5"/>
    <w:rsid w:val="00720BF4"/>
    <w:rsid w:val="00722FB1"/>
    <w:rsid w:val="0072575D"/>
    <w:rsid w:val="00725BB4"/>
    <w:rsid w:val="0072672E"/>
    <w:rsid w:val="007313BF"/>
    <w:rsid w:val="0073180A"/>
    <w:rsid w:val="00732997"/>
    <w:rsid w:val="007336C3"/>
    <w:rsid w:val="00735033"/>
    <w:rsid w:val="0075169B"/>
    <w:rsid w:val="00756485"/>
    <w:rsid w:val="0075705D"/>
    <w:rsid w:val="007626E1"/>
    <w:rsid w:val="0076316D"/>
    <w:rsid w:val="007666C6"/>
    <w:rsid w:val="00767F65"/>
    <w:rsid w:val="00770D6C"/>
    <w:rsid w:val="0077294B"/>
    <w:rsid w:val="00772B00"/>
    <w:rsid w:val="007744DB"/>
    <w:rsid w:val="00783515"/>
    <w:rsid w:val="00787C94"/>
    <w:rsid w:val="00791BCB"/>
    <w:rsid w:val="007921BD"/>
    <w:rsid w:val="00793A02"/>
    <w:rsid w:val="00795C6B"/>
    <w:rsid w:val="00795CBF"/>
    <w:rsid w:val="00796318"/>
    <w:rsid w:val="00797A2D"/>
    <w:rsid w:val="007A1566"/>
    <w:rsid w:val="007A3035"/>
    <w:rsid w:val="007A3488"/>
    <w:rsid w:val="007A3995"/>
    <w:rsid w:val="007A5AC5"/>
    <w:rsid w:val="007B0FC3"/>
    <w:rsid w:val="007B622D"/>
    <w:rsid w:val="007C4288"/>
    <w:rsid w:val="007C484E"/>
    <w:rsid w:val="007D25F2"/>
    <w:rsid w:val="007D3E3C"/>
    <w:rsid w:val="007D4853"/>
    <w:rsid w:val="007D554A"/>
    <w:rsid w:val="007D57C4"/>
    <w:rsid w:val="007D5FF7"/>
    <w:rsid w:val="007E0429"/>
    <w:rsid w:val="007E41DE"/>
    <w:rsid w:val="007E4CE3"/>
    <w:rsid w:val="007F09B9"/>
    <w:rsid w:val="007F2B1F"/>
    <w:rsid w:val="00801D0C"/>
    <w:rsid w:val="00802F7A"/>
    <w:rsid w:val="0080498B"/>
    <w:rsid w:val="00806707"/>
    <w:rsid w:val="00806A1C"/>
    <w:rsid w:val="0080773A"/>
    <w:rsid w:val="008123BB"/>
    <w:rsid w:val="008173F3"/>
    <w:rsid w:val="00820268"/>
    <w:rsid w:val="0082117C"/>
    <w:rsid w:val="008227E9"/>
    <w:rsid w:val="008252C5"/>
    <w:rsid w:val="00831860"/>
    <w:rsid w:val="00832F2D"/>
    <w:rsid w:val="0083321B"/>
    <w:rsid w:val="00836C6A"/>
    <w:rsid w:val="00841C9F"/>
    <w:rsid w:val="0084294E"/>
    <w:rsid w:val="00843EFF"/>
    <w:rsid w:val="008442A5"/>
    <w:rsid w:val="008477A9"/>
    <w:rsid w:val="00853E5A"/>
    <w:rsid w:val="0085416A"/>
    <w:rsid w:val="00855032"/>
    <w:rsid w:val="00856B0F"/>
    <w:rsid w:val="008620AC"/>
    <w:rsid w:val="00862B45"/>
    <w:rsid w:val="00865BB2"/>
    <w:rsid w:val="00871755"/>
    <w:rsid w:val="0087186A"/>
    <w:rsid w:val="00872C56"/>
    <w:rsid w:val="00874F67"/>
    <w:rsid w:val="00876AC2"/>
    <w:rsid w:val="00883F43"/>
    <w:rsid w:val="0088403E"/>
    <w:rsid w:val="00884C98"/>
    <w:rsid w:val="00884CE2"/>
    <w:rsid w:val="00885E7D"/>
    <w:rsid w:val="00886609"/>
    <w:rsid w:val="0089363F"/>
    <w:rsid w:val="00894D05"/>
    <w:rsid w:val="008960ED"/>
    <w:rsid w:val="00896ED8"/>
    <w:rsid w:val="008A0DA8"/>
    <w:rsid w:val="008A209D"/>
    <w:rsid w:val="008A2436"/>
    <w:rsid w:val="008A4E8C"/>
    <w:rsid w:val="008A563D"/>
    <w:rsid w:val="008A7F70"/>
    <w:rsid w:val="008B147E"/>
    <w:rsid w:val="008B3B0A"/>
    <w:rsid w:val="008B4742"/>
    <w:rsid w:val="008C2BA0"/>
    <w:rsid w:val="008C382A"/>
    <w:rsid w:val="008C69F2"/>
    <w:rsid w:val="008D1D44"/>
    <w:rsid w:val="008D3861"/>
    <w:rsid w:val="008D3E6C"/>
    <w:rsid w:val="008D4E53"/>
    <w:rsid w:val="008E04EC"/>
    <w:rsid w:val="008E2EC0"/>
    <w:rsid w:val="008E43F4"/>
    <w:rsid w:val="008E5E8C"/>
    <w:rsid w:val="008F42F6"/>
    <w:rsid w:val="008F4A2E"/>
    <w:rsid w:val="008F5282"/>
    <w:rsid w:val="00902318"/>
    <w:rsid w:val="009123C5"/>
    <w:rsid w:val="00912BAC"/>
    <w:rsid w:val="00925058"/>
    <w:rsid w:val="00926CDB"/>
    <w:rsid w:val="00930113"/>
    <w:rsid w:val="0093020D"/>
    <w:rsid w:val="009356EC"/>
    <w:rsid w:val="00937FB2"/>
    <w:rsid w:val="0094114F"/>
    <w:rsid w:val="00947FA4"/>
    <w:rsid w:val="00951B5E"/>
    <w:rsid w:val="0095690D"/>
    <w:rsid w:val="009609C5"/>
    <w:rsid w:val="009647DD"/>
    <w:rsid w:val="00965B1A"/>
    <w:rsid w:val="00971A51"/>
    <w:rsid w:val="00971B57"/>
    <w:rsid w:val="00976933"/>
    <w:rsid w:val="00981893"/>
    <w:rsid w:val="00984974"/>
    <w:rsid w:val="00984C33"/>
    <w:rsid w:val="00986438"/>
    <w:rsid w:val="00987DBF"/>
    <w:rsid w:val="009970F9"/>
    <w:rsid w:val="009A4D68"/>
    <w:rsid w:val="009A5590"/>
    <w:rsid w:val="009B1F45"/>
    <w:rsid w:val="009C3837"/>
    <w:rsid w:val="009C44BD"/>
    <w:rsid w:val="009C537F"/>
    <w:rsid w:val="009C576C"/>
    <w:rsid w:val="009D0585"/>
    <w:rsid w:val="009D27E9"/>
    <w:rsid w:val="009D2BB3"/>
    <w:rsid w:val="009D7A9D"/>
    <w:rsid w:val="009E0846"/>
    <w:rsid w:val="009E12D7"/>
    <w:rsid w:val="009E1EF4"/>
    <w:rsid w:val="009E1F32"/>
    <w:rsid w:val="009E4B48"/>
    <w:rsid w:val="009E4BD5"/>
    <w:rsid w:val="009E6B3A"/>
    <w:rsid w:val="009F1BE0"/>
    <w:rsid w:val="009F513C"/>
    <w:rsid w:val="009F7CED"/>
    <w:rsid w:val="00A0070C"/>
    <w:rsid w:val="00A04569"/>
    <w:rsid w:val="00A0736A"/>
    <w:rsid w:val="00A07DE7"/>
    <w:rsid w:val="00A120D6"/>
    <w:rsid w:val="00A1301A"/>
    <w:rsid w:val="00A14C37"/>
    <w:rsid w:val="00A161B9"/>
    <w:rsid w:val="00A169C1"/>
    <w:rsid w:val="00A17059"/>
    <w:rsid w:val="00A17CBD"/>
    <w:rsid w:val="00A219D7"/>
    <w:rsid w:val="00A2785C"/>
    <w:rsid w:val="00A33DCF"/>
    <w:rsid w:val="00A376BE"/>
    <w:rsid w:val="00A377FE"/>
    <w:rsid w:val="00A4128C"/>
    <w:rsid w:val="00A41AEF"/>
    <w:rsid w:val="00A4257E"/>
    <w:rsid w:val="00A4379F"/>
    <w:rsid w:val="00A447B3"/>
    <w:rsid w:val="00A4610C"/>
    <w:rsid w:val="00A466C1"/>
    <w:rsid w:val="00A500DD"/>
    <w:rsid w:val="00A518E9"/>
    <w:rsid w:val="00A52C3F"/>
    <w:rsid w:val="00A531CF"/>
    <w:rsid w:val="00A55DB6"/>
    <w:rsid w:val="00A61784"/>
    <w:rsid w:val="00A64120"/>
    <w:rsid w:val="00A66FBF"/>
    <w:rsid w:val="00A71B8A"/>
    <w:rsid w:val="00A72973"/>
    <w:rsid w:val="00A74AFD"/>
    <w:rsid w:val="00A75E3F"/>
    <w:rsid w:val="00A80613"/>
    <w:rsid w:val="00A83A98"/>
    <w:rsid w:val="00A85AEA"/>
    <w:rsid w:val="00A94019"/>
    <w:rsid w:val="00AA28E8"/>
    <w:rsid w:val="00AA7AB3"/>
    <w:rsid w:val="00AB0708"/>
    <w:rsid w:val="00AB0C45"/>
    <w:rsid w:val="00AB1CFA"/>
    <w:rsid w:val="00AB2FFE"/>
    <w:rsid w:val="00AB6652"/>
    <w:rsid w:val="00AC0E99"/>
    <w:rsid w:val="00AC1AF8"/>
    <w:rsid w:val="00AC447D"/>
    <w:rsid w:val="00AC56A3"/>
    <w:rsid w:val="00AD31EB"/>
    <w:rsid w:val="00AD5446"/>
    <w:rsid w:val="00AD623F"/>
    <w:rsid w:val="00AE03F3"/>
    <w:rsid w:val="00AE57FA"/>
    <w:rsid w:val="00AE5CED"/>
    <w:rsid w:val="00AF0A07"/>
    <w:rsid w:val="00AF3745"/>
    <w:rsid w:val="00AF5E71"/>
    <w:rsid w:val="00AF6C68"/>
    <w:rsid w:val="00B01784"/>
    <w:rsid w:val="00B04A9D"/>
    <w:rsid w:val="00B04EC0"/>
    <w:rsid w:val="00B07D04"/>
    <w:rsid w:val="00B12A4F"/>
    <w:rsid w:val="00B13AE3"/>
    <w:rsid w:val="00B20D80"/>
    <w:rsid w:val="00B224BD"/>
    <w:rsid w:val="00B25550"/>
    <w:rsid w:val="00B25DF6"/>
    <w:rsid w:val="00B27AA0"/>
    <w:rsid w:val="00B30DCD"/>
    <w:rsid w:val="00B377D3"/>
    <w:rsid w:val="00B4178F"/>
    <w:rsid w:val="00B4216E"/>
    <w:rsid w:val="00B42729"/>
    <w:rsid w:val="00B448DC"/>
    <w:rsid w:val="00B463AC"/>
    <w:rsid w:val="00B51095"/>
    <w:rsid w:val="00B611BE"/>
    <w:rsid w:val="00B6123C"/>
    <w:rsid w:val="00B61A32"/>
    <w:rsid w:val="00B61CA6"/>
    <w:rsid w:val="00B65F1B"/>
    <w:rsid w:val="00B66D03"/>
    <w:rsid w:val="00B7000F"/>
    <w:rsid w:val="00B70CBE"/>
    <w:rsid w:val="00B729FC"/>
    <w:rsid w:val="00B73EC6"/>
    <w:rsid w:val="00B766E4"/>
    <w:rsid w:val="00B8326D"/>
    <w:rsid w:val="00B84AF8"/>
    <w:rsid w:val="00B937B6"/>
    <w:rsid w:val="00B9614A"/>
    <w:rsid w:val="00BA2378"/>
    <w:rsid w:val="00BA450F"/>
    <w:rsid w:val="00BB2C33"/>
    <w:rsid w:val="00BB545F"/>
    <w:rsid w:val="00BC07AF"/>
    <w:rsid w:val="00BC22D5"/>
    <w:rsid w:val="00BC34F9"/>
    <w:rsid w:val="00BC4BE7"/>
    <w:rsid w:val="00BC68F4"/>
    <w:rsid w:val="00BD0F33"/>
    <w:rsid w:val="00BD4B65"/>
    <w:rsid w:val="00BD7700"/>
    <w:rsid w:val="00BE280C"/>
    <w:rsid w:val="00BF054E"/>
    <w:rsid w:val="00BF08DA"/>
    <w:rsid w:val="00BF0DB9"/>
    <w:rsid w:val="00BF1241"/>
    <w:rsid w:val="00BF1F54"/>
    <w:rsid w:val="00C000F6"/>
    <w:rsid w:val="00C00D9A"/>
    <w:rsid w:val="00C06FC3"/>
    <w:rsid w:val="00C113BB"/>
    <w:rsid w:val="00C12B93"/>
    <w:rsid w:val="00C134C3"/>
    <w:rsid w:val="00C1389B"/>
    <w:rsid w:val="00C14F87"/>
    <w:rsid w:val="00C17418"/>
    <w:rsid w:val="00C2047A"/>
    <w:rsid w:val="00C20BCD"/>
    <w:rsid w:val="00C2105D"/>
    <w:rsid w:val="00C26C14"/>
    <w:rsid w:val="00C27D76"/>
    <w:rsid w:val="00C31D59"/>
    <w:rsid w:val="00C36892"/>
    <w:rsid w:val="00C4009A"/>
    <w:rsid w:val="00C401C2"/>
    <w:rsid w:val="00C46330"/>
    <w:rsid w:val="00C47F3C"/>
    <w:rsid w:val="00C47F73"/>
    <w:rsid w:val="00C514AC"/>
    <w:rsid w:val="00C52E86"/>
    <w:rsid w:val="00C57111"/>
    <w:rsid w:val="00C57AE5"/>
    <w:rsid w:val="00C6077B"/>
    <w:rsid w:val="00C61441"/>
    <w:rsid w:val="00C614D2"/>
    <w:rsid w:val="00C66731"/>
    <w:rsid w:val="00C67015"/>
    <w:rsid w:val="00C7294E"/>
    <w:rsid w:val="00C83FEB"/>
    <w:rsid w:val="00C84C6C"/>
    <w:rsid w:val="00C84C7C"/>
    <w:rsid w:val="00C90FDC"/>
    <w:rsid w:val="00C91F90"/>
    <w:rsid w:val="00C95A77"/>
    <w:rsid w:val="00CA042E"/>
    <w:rsid w:val="00CA57DF"/>
    <w:rsid w:val="00CB0063"/>
    <w:rsid w:val="00CB12DA"/>
    <w:rsid w:val="00CB4168"/>
    <w:rsid w:val="00CB4D37"/>
    <w:rsid w:val="00CB52CB"/>
    <w:rsid w:val="00CB66F7"/>
    <w:rsid w:val="00CC09AE"/>
    <w:rsid w:val="00CC0C62"/>
    <w:rsid w:val="00CC259C"/>
    <w:rsid w:val="00CC42D1"/>
    <w:rsid w:val="00CC5B3E"/>
    <w:rsid w:val="00CC76FD"/>
    <w:rsid w:val="00CD5AA1"/>
    <w:rsid w:val="00CE1A87"/>
    <w:rsid w:val="00CE1BE5"/>
    <w:rsid w:val="00CE1F3A"/>
    <w:rsid w:val="00CE4FC1"/>
    <w:rsid w:val="00CF25EF"/>
    <w:rsid w:val="00D00087"/>
    <w:rsid w:val="00D028E8"/>
    <w:rsid w:val="00D031C7"/>
    <w:rsid w:val="00D04A96"/>
    <w:rsid w:val="00D05B67"/>
    <w:rsid w:val="00D05D52"/>
    <w:rsid w:val="00D06250"/>
    <w:rsid w:val="00D133FE"/>
    <w:rsid w:val="00D143D0"/>
    <w:rsid w:val="00D16C3E"/>
    <w:rsid w:val="00D174AA"/>
    <w:rsid w:val="00D24980"/>
    <w:rsid w:val="00D26D53"/>
    <w:rsid w:val="00D27020"/>
    <w:rsid w:val="00D31F43"/>
    <w:rsid w:val="00D341C2"/>
    <w:rsid w:val="00D34AB1"/>
    <w:rsid w:val="00D3719B"/>
    <w:rsid w:val="00D40E59"/>
    <w:rsid w:val="00D415E6"/>
    <w:rsid w:val="00D43AAA"/>
    <w:rsid w:val="00D444C5"/>
    <w:rsid w:val="00D46AED"/>
    <w:rsid w:val="00D530DC"/>
    <w:rsid w:val="00D544EF"/>
    <w:rsid w:val="00D62023"/>
    <w:rsid w:val="00D62110"/>
    <w:rsid w:val="00D6550B"/>
    <w:rsid w:val="00D67C5A"/>
    <w:rsid w:val="00D67FF7"/>
    <w:rsid w:val="00D7070F"/>
    <w:rsid w:val="00D70736"/>
    <w:rsid w:val="00D709DD"/>
    <w:rsid w:val="00D81AC2"/>
    <w:rsid w:val="00D8218D"/>
    <w:rsid w:val="00D8280B"/>
    <w:rsid w:val="00D8294A"/>
    <w:rsid w:val="00D83F98"/>
    <w:rsid w:val="00D84A75"/>
    <w:rsid w:val="00D85F90"/>
    <w:rsid w:val="00D90649"/>
    <w:rsid w:val="00D91E89"/>
    <w:rsid w:val="00D9213D"/>
    <w:rsid w:val="00D93C63"/>
    <w:rsid w:val="00D965B1"/>
    <w:rsid w:val="00D97DF9"/>
    <w:rsid w:val="00DA5813"/>
    <w:rsid w:val="00DA6526"/>
    <w:rsid w:val="00DA6C54"/>
    <w:rsid w:val="00DB31F1"/>
    <w:rsid w:val="00DC4270"/>
    <w:rsid w:val="00DC54A3"/>
    <w:rsid w:val="00DD15D9"/>
    <w:rsid w:val="00DD181C"/>
    <w:rsid w:val="00DD2F2C"/>
    <w:rsid w:val="00DD48D9"/>
    <w:rsid w:val="00DE1540"/>
    <w:rsid w:val="00DE520C"/>
    <w:rsid w:val="00DE5F16"/>
    <w:rsid w:val="00DE6D35"/>
    <w:rsid w:val="00DF1E66"/>
    <w:rsid w:val="00DF2913"/>
    <w:rsid w:val="00DF60FD"/>
    <w:rsid w:val="00DF6410"/>
    <w:rsid w:val="00E007F7"/>
    <w:rsid w:val="00E016A8"/>
    <w:rsid w:val="00E05F18"/>
    <w:rsid w:val="00E06A27"/>
    <w:rsid w:val="00E10C45"/>
    <w:rsid w:val="00E12202"/>
    <w:rsid w:val="00E12808"/>
    <w:rsid w:val="00E139F4"/>
    <w:rsid w:val="00E213AD"/>
    <w:rsid w:val="00E219BB"/>
    <w:rsid w:val="00E21C1B"/>
    <w:rsid w:val="00E242C5"/>
    <w:rsid w:val="00E24673"/>
    <w:rsid w:val="00E24F26"/>
    <w:rsid w:val="00E261B4"/>
    <w:rsid w:val="00E31E85"/>
    <w:rsid w:val="00E32CB5"/>
    <w:rsid w:val="00E35012"/>
    <w:rsid w:val="00E407FF"/>
    <w:rsid w:val="00E40C34"/>
    <w:rsid w:val="00E41E2C"/>
    <w:rsid w:val="00E44207"/>
    <w:rsid w:val="00E462A7"/>
    <w:rsid w:val="00E54A52"/>
    <w:rsid w:val="00E57E24"/>
    <w:rsid w:val="00E6353D"/>
    <w:rsid w:val="00E66C57"/>
    <w:rsid w:val="00E66D00"/>
    <w:rsid w:val="00E67AE2"/>
    <w:rsid w:val="00E7224C"/>
    <w:rsid w:val="00E729F2"/>
    <w:rsid w:val="00E745E3"/>
    <w:rsid w:val="00E75DBD"/>
    <w:rsid w:val="00E804B6"/>
    <w:rsid w:val="00E805D3"/>
    <w:rsid w:val="00E80826"/>
    <w:rsid w:val="00E82C4C"/>
    <w:rsid w:val="00E83A1E"/>
    <w:rsid w:val="00E84DA1"/>
    <w:rsid w:val="00E854F2"/>
    <w:rsid w:val="00E8782A"/>
    <w:rsid w:val="00E91332"/>
    <w:rsid w:val="00E94932"/>
    <w:rsid w:val="00EA3045"/>
    <w:rsid w:val="00EA7596"/>
    <w:rsid w:val="00EB4E4F"/>
    <w:rsid w:val="00EC1DE8"/>
    <w:rsid w:val="00EC35AE"/>
    <w:rsid w:val="00EC66AC"/>
    <w:rsid w:val="00ED4708"/>
    <w:rsid w:val="00ED7EF3"/>
    <w:rsid w:val="00EE0D69"/>
    <w:rsid w:val="00EE0F26"/>
    <w:rsid w:val="00EE2ABB"/>
    <w:rsid w:val="00EE6D53"/>
    <w:rsid w:val="00EF192B"/>
    <w:rsid w:val="00F06B8A"/>
    <w:rsid w:val="00F07A7D"/>
    <w:rsid w:val="00F153C1"/>
    <w:rsid w:val="00F16839"/>
    <w:rsid w:val="00F211E7"/>
    <w:rsid w:val="00F21D37"/>
    <w:rsid w:val="00F221F0"/>
    <w:rsid w:val="00F26136"/>
    <w:rsid w:val="00F2713B"/>
    <w:rsid w:val="00F305D8"/>
    <w:rsid w:val="00F32169"/>
    <w:rsid w:val="00F3272F"/>
    <w:rsid w:val="00F37106"/>
    <w:rsid w:val="00F44A2E"/>
    <w:rsid w:val="00F47D57"/>
    <w:rsid w:val="00F55DC4"/>
    <w:rsid w:val="00F576B3"/>
    <w:rsid w:val="00F602E7"/>
    <w:rsid w:val="00F63AA1"/>
    <w:rsid w:val="00F63F7D"/>
    <w:rsid w:val="00F728E7"/>
    <w:rsid w:val="00F745E1"/>
    <w:rsid w:val="00F75A79"/>
    <w:rsid w:val="00F7620E"/>
    <w:rsid w:val="00F775AD"/>
    <w:rsid w:val="00F80E07"/>
    <w:rsid w:val="00F8195D"/>
    <w:rsid w:val="00F90326"/>
    <w:rsid w:val="00F90F86"/>
    <w:rsid w:val="00F92DF0"/>
    <w:rsid w:val="00F9767B"/>
    <w:rsid w:val="00FA0454"/>
    <w:rsid w:val="00FA4A9E"/>
    <w:rsid w:val="00FB10DE"/>
    <w:rsid w:val="00FB1248"/>
    <w:rsid w:val="00FB217D"/>
    <w:rsid w:val="00FB29CC"/>
    <w:rsid w:val="00FC0522"/>
    <w:rsid w:val="00FC0AB9"/>
    <w:rsid w:val="00FC2DE3"/>
    <w:rsid w:val="00FD3D04"/>
    <w:rsid w:val="00FD49A0"/>
    <w:rsid w:val="00FD7A16"/>
    <w:rsid w:val="00FE0A8F"/>
    <w:rsid w:val="00FE27DE"/>
    <w:rsid w:val="00FE4F0C"/>
    <w:rsid w:val="00FF2596"/>
    <w:rsid w:val="00FF66CA"/>
    <w:rsid w:val="00FF6C9A"/>
    <w:rsid w:val="011AFE9B"/>
    <w:rsid w:val="029CCC72"/>
    <w:rsid w:val="03FFAE12"/>
    <w:rsid w:val="04356FF5"/>
    <w:rsid w:val="0475AF77"/>
    <w:rsid w:val="04917C46"/>
    <w:rsid w:val="067E8ACB"/>
    <w:rsid w:val="080E0794"/>
    <w:rsid w:val="08CD8B05"/>
    <w:rsid w:val="09F14D14"/>
    <w:rsid w:val="0A38DFCC"/>
    <w:rsid w:val="0B51E878"/>
    <w:rsid w:val="0EC3B22D"/>
    <w:rsid w:val="0ED1A2E9"/>
    <w:rsid w:val="0F9B2157"/>
    <w:rsid w:val="124E0F22"/>
    <w:rsid w:val="13B3FA76"/>
    <w:rsid w:val="15AE1D27"/>
    <w:rsid w:val="16E745B4"/>
    <w:rsid w:val="16F9DCCB"/>
    <w:rsid w:val="18312EC6"/>
    <w:rsid w:val="19056355"/>
    <w:rsid w:val="1A6DA669"/>
    <w:rsid w:val="1AC9C7D3"/>
    <w:rsid w:val="1BFC7007"/>
    <w:rsid w:val="1DC7A7D1"/>
    <w:rsid w:val="1E25611D"/>
    <w:rsid w:val="206212B7"/>
    <w:rsid w:val="20C153EA"/>
    <w:rsid w:val="2219AC4C"/>
    <w:rsid w:val="23E917CB"/>
    <w:rsid w:val="24CAFC9A"/>
    <w:rsid w:val="26DC9792"/>
    <w:rsid w:val="27A94E58"/>
    <w:rsid w:val="27AE9E87"/>
    <w:rsid w:val="29232620"/>
    <w:rsid w:val="2A460540"/>
    <w:rsid w:val="2B9CF951"/>
    <w:rsid w:val="2C43772C"/>
    <w:rsid w:val="2D3BA0BA"/>
    <w:rsid w:val="2DF317FA"/>
    <w:rsid w:val="320FC3DB"/>
    <w:rsid w:val="33930CC9"/>
    <w:rsid w:val="344E4AF1"/>
    <w:rsid w:val="3595FE9B"/>
    <w:rsid w:val="35976DE0"/>
    <w:rsid w:val="397A966F"/>
    <w:rsid w:val="3ADA8356"/>
    <w:rsid w:val="3D6108BF"/>
    <w:rsid w:val="3DD81D3C"/>
    <w:rsid w:val="3DEFDF51"/>
    <w:rsid w:val="4066BF27"/>
    <w:rsid w:val="4336D581"/>
    <w:rsid w:val="44F1645D"/>
    <w:rsid w:val="460330CE"/>
    <w:rsid w:val="46C32B6E"/>
    <w:rsid w:val="47380D31"/>
    <w:rsid w:val="47CC8DB5"/>
    <w:rsid w:val="47FA2960"/>
    <w:rsid w:val="48790386"/>
    <w:rsid w:val="4881B51C"/>
    <w:rsid w:val="498E3ACE"/>
    <w:rsid w:val="4A776D13"/>
    <w:rsid w:val="4ADFB544"/>
    <w:rsid w:val="4B8CC2C5"/>
    <w:rsid w:val="4BA698AD"/>
    <w:rsid w:val="4CE94EE6"/>
    <w:rsid w:val="4E2826A3"/>
    <w:rsid w:val="52354254"/>
    <w:rsid w:val="531D9C7A"/>
    <w:rsid w:val="538B15D0"/>
    <w:rsid w:val="54195DB9"/>
    <w:rsid w:val="55C9D3D4"/>
    <w:rsid w:val="55CC154E"/>
    <w:rsid w:val="578D4E53"/>
    <w:rsid w:val="592481E0"/>
    <w:rsid w:val="59F296C4"/>
    <w:rsid w:val="5E1A12D9"/>
    <w:rsid w:val="5EE8C453"/>
    <w:rsid w:val="5F9A52D0"/>
    <w:rsid w:val="5FE243AD"/>
    <w:rsid w:val="60F93A79"/>
    <w:rsid w:val="630F8F7D"/>
    <w:rsid w:val="6593FA42"/>
    <w:rsid w:val="6755FB1B"/>
    <w:rsid w:val="6B539E6F"/>
    <w:rsid w:val="6E1C97FF"/>
    <w:rsid w:val="6E9523CD"/>
    <w:rsid w:val="6FBB9463"/>
    <w:rsid w:val="71F8C517"/>
    <w:rsid w:val="72121D16"/>
    <w:rsid w:val="72655390"/>
    <w:rsid w:val="72C5FAEF"/>
    <w:rsid w:val="738779DF"/>
    <w:rsid w:val="74E7CBAB"/>
    <w:rsid w:val="7580FD9A"/>
    <w:rsid w:val="788AF2F6"/>
    <w:rsid w:val="79BA8F18"/>
    <w:rsid w:val="79BD8E11"/>
    <w:rsid w:val="7B121641"/>
    <w:rsid w:val="7E19C530"/>
    <w:rsid w:val="7E497C2C"/>
    <w:rsid w:val="7F56139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705DF"/>
  <w15:chartTrackingRefBased/>
  <w15:docId w15:val="{8504F494-790E-48C5-842F-D4CDAA14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951B5E"/>
    <w:rPr>
      <w:rFonts w:ascii="Arial" w:hAnsi="Arial"/>
      <w:lang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customStyle="1" w:styleId="BodyText20">
    <w:name w:val="Body Text 20"/>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link w:val="DefaultCar"/>
    <w:rsid w:val="00DF1E66"/>
    <w:pPr>
      <w:autoSpaceDE w:val="0"/>
      <w:autoSpaceDN w:val="0"/>
      <w:adjustRightInd w:val="0"/>
    </w:pPr>
    <w:rPr>
      <w:rFonts w:ascii="Arial" w:hAnsi="Arial" w:cs="Arial"/>
      <w:color w:val="000000"/>
      <w:sz w:val="24"/>
      <w:szCs w:val="24"/>
      <w:lang w:val="es-CO" w:eastAsia="es-CO"/>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CO" w:eastAsia="es-CO"/>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val="es-CO" w:eastAsia="en-US"/>
    </w:rPr>
  </w:style>
  <w:style w:type="character" w:styleId="Textoennegrita">
    <w:name w:val="Strong"/>
    <w:uiPriority w:val="22"/>
    <w:qFormat/>
    <w:rsid w:val="002D2CB2"/>
    <w:rPr>
      <w:b/>
      <w:bCs/>
    </w:rPr>
  </w:style>
  <w:style w:type="paragraph" w:styleId="Puesto">
    <w:name w:val="Title"/>
    <w:basedOn w:val="Normal"/>
    <w:link w:val="PuestoCar"/>
    <w:qFormat/>
    <w:rsid w:val="00AE03F3"/>
    <w:pPr>
      <w:jc w:val="center"/>
    </w:pPr>
    <w:rPr>
      <w:rFonts w:cs="Arial"/>
      <w:b/>
      <w:bCs/>
      <w:sz w:val="32"/>
      <w:szCs w:val="24"/>
    </w:rPr>
  </w:style>
  <w:style w:type="character" w:customStyle="1" w:styleId="PuestoCar">
    <w:name w:val="Puesto Car"/>
    <w:link w:val="Puest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uiPriority w:val="39"/>
    <w:rsid w:val="00350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ist,titulo 3,Bullets,Ha,Párrafo de lista2,Lista vistosa - Énfasis 11,Cuadrícula clara - Énfasis 31,Párrafo de lista1,Segundo nivel de viñetas,List Paragraph1,Llista Nivell1,Tesis Párrafo de lista,Bullet List,FooterText,l,References,lp1"/>
    <w:basedOn w:val="Normal"/>
    <w:link w:val="PrrafodelistaCar"/>
    <w:qFormat/>
    <w:rsid w:val="008E2EC0"/>
    <w:pPr>
      <w:spacing w:after="160" w:line="259" w:lineRule="auto"/>
      <w:ind w:left="720"/>
      <w:contextualSpacing/>
    </w:pPr>
    <w:rPr>
      <w:rFonts w:ascii="Calibri" w:eastAsia="Calibri" w:hAnsi="Calibri"/>
      <w:sz w:val="22"/>
      <w:szCs w:val="22"/>
      <w:lang w:eastAsia="en-US"/>
    </w:rPr>
  </w:style>
  <w:style w:type="character" w:styleId="nfasis">
    <w:name w:val="Emphasis"/>
    <w:uiPriority w:val="20"/>
    <w:qFormat/>
    <w:rsid w:val="000A4326"/>
    <w:rPr>
      <w:i/>
      <w:iCs/>
    </w:rPr>
  </w:style>
  <w:style w:type="paragraph" w:styleId="Sinespaciado">
    <w:name w:val="No Spacing"/>
    <w:uiPriority w:val="1"/>
    <w:qFormat/>
    <w:rsid w:val="00FD7A16"/>
    <w:rPr>
      <w:rFonts w:ascii="Calibri" w:eastAsia="Calibri" w:hAnsi="Calibri"/>
      <w:sz w:val="22"/>
      <w:szCs w:val="22"/>
      <w:lang w:val="es-CO" w:eastAsia="en-US"/>
    </w:rPr>
  </w:style>
  <w:style w:type="paragraph" w:styleId="Revisin">
    <w:name w:val="Revision"/>
    <w:hidden/>
    <w:uiPriority w:val="71"/>
    <w:rsid w:val="003579C8"/>
    <w:rPr>
      <w:rFonts w:ascii="Arial" w:hAnsi="Arial"/>
      <w:lang w:eastAsia="es-ES"/>
    </w:rPr>
  </w:style>
  <w:style w:type="character" w:customStyle="1" w:styleId="PrrafodelistaCar">
    <w:name w:val="Párrafo de lista Car"/>
    <w:aliases w:val="List Car,titulo 3 Car,Bullets Car,Ha Car,Párrafo de lista2 Car,Lista vistosa - Énfasis 11 Car,Cuadrícula clara - Énfasis 31 Car,Párrafo de lista1 Car,Segundo nivel de viñetas Car,List Paragraph1 Car,Llista Nivell1 Car,FooterText Car"/>
    <w:link w:val="Prrafodelista"/>
    <w:uiPriority w:val="34"/>
    <w:qFormat/>
    <w:locked/>
    <w:rsid w:val="003F05C7"/>
    <w:rPr>
      <w:rFonts w:ascii="Calibri" w:eastAsia="Calibri" w:hAnsi="Calibri"/>
      <w:sz w:val="22"/>
      <w:szCs w:val="22"/>
      <w:lang w:val="es-ES" w:eastAsia="en-US"/>
    </w:rPr>
  </w:style>
  <w:style w:type="character" w:customStyle="1" w:styleId="DefaultCar">
    <w:name w:val="Default Car"/>
    <w:link w:val="Default"/>
    <w:locked/>
    <w:rsid w:val="00B25DF6"/>
    <w:rPr>
      <w:rFonts w:ascii="Arial" w:hAnsi="Arial" w:cs="Arial"/>
      <w:color w:val="000000"/>
      <w:sz w:val="24"/>
      <w:szCs w:val="24"/>
    </w:rPr>
  </w:style>
  <w:style w:type="character" w:customStyle="1" w:styleId="normaltextrun">
    <w:name w:val="normaltextrun"/>
    <w:basedOn w:val="Fuentedeprrafopredeter"/>
    <w:rsid w:val="002C0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442963101">
      <w:bodyDiv w:val="1"/>
      <w:marLeft w:val="0"/>
      <w:marRight w:val="0"/>
      <w:marTop w:val="0"/>
      <w:marBottom w:val="0"/>
      <w:divBdr>
        <w:top w:val="none" w:sz="0" w:space="0" w:color="auto"/>
        <w:left w:val="none" w:sz="0" w:space="0" w:color="auto"/>
        <w:bottom w:val="none" w:sz="0" w:space="0" w:color="auto"/>
        <w:right w:val="none" w:sz="0" w:space="0" w:color="auto"/>
      </w:divBdr>
    </w:div>
    <w:div w:id="485365353">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636839928">
      <w:bodyDiv w:val="1"/>
      <w:marLeft w:val="0"/>
      <w:marRight w:val="0"/>
      <w:marTop w:val="0"/>
      <w:marBottom w:val="0"/>
      <w:divBdr>
        <w:top w:val="none" w:sz="0" w:space="0" w:color="auto"/>
        <w:left w:val="none" w:sz="0" w:space="0" w:color="auto"/>
        <w:bottom w:val="none" w:sz="0" w:space="0" w:color="auto"/>
        <w:right w:val="none" w:sz="0" w:space="0" w:color="auto"/>
      </w:divBdr>
    </w:div>
    <w:div w:id="796336424">
      <w:bodyDiv w:val="1"/>
      <w:marLeft w:val="0"/>
      <w:marRight w:val="0"/>
      <w:marTop w:val="0"/>
      <w:marBottom w:val="0"/>
      <w:divBdr>
        <w:top w:val="none" w:sz="0" w:space="0" w:color="auto"/>
        <w:left w:val="none" w:sz="0" w:space="0" w:color="auto"/>
        <w:bottom w:val="none" w:sz="0" w:space="0" w:color="auto"/>
        <w:right w:val="none" w:sz="0" w:space="0" w:color="auto"/>
      </w:divBdr>
    </w:div>
    <w:div w:id="938564018">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005206226">
      <w:bodyDiv w:val="1"/>
      <w:marLeft w:val="0"/>
      <w:marRight w:val="0"/>
      <w:marTop w:val="0"/>
      <w:marBottom w:val="0"/>
      <w:divBdr>
        <w:top w:val="none" w:sz="0" w:space="0" w:color="auto"/>
        <w:left w:val="none" w:sz="0" w:space="0" w:color="auto"/>
        <w:bottom w:val="none" w:sz="0" w:space="0" w:color="auto"/>
        <w:right w:val="none" w:sz="0" w:space="0" w:color="auto"/>
      </w:divBdr>
    </w:div>
    <w:div w:id="1060909798">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34003631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517690518">
      <w:bodyDiv w:val="1"/>
      <w:marLeft w:val="0"/>
      <w:marRight w:val="0"/>
      <w:marTop w:val="0"/>
      <w:marBottom w:val="0"/>
      <w:divBdr>
        <w:top w:val="none" w:sz="0" w:space="0" w:color="auto"/>
        <w:left w:val="none" w:sz="0" w:space="0" w:color="auto"/>
        <w:bottom w:val="none" w:sz="0" w:space="0" w:color="auto"/>
        <w:right w:val="none" w:sz="0" w:space="0" w:color="auto"/>
      </w:divBdr>
    </w:div>
    <w:div w:id="1818066160">
      <w:bodyDiv w:val="1"/>
      <w:marLeft w:val="0"/>
      <w:marRight w:val="0"/>
      <w:marTop w:val="0"/>
      <w:marBottom w:val="0"/>
      <w:divBdr>
        <w:top w:val="none" w:sz="0" w:space="0" w:color="auto"/>
        <w:left w:val="none" w:sz="0" w:space="0" w:color="auto"/>
        <w:bottom w:val="none" w:sz="0" w:space="0" w:color="auto"/>
        <w:right w:val="none" w:sz="0" w:space="0" w:color="auto"/>
      </w:divBdr>
    </w:div>
    <w:div w:id="1822304207">
      <w:bodyDiv w:val="1"/>
      <w:marLeft w:val="0"/>
      <w:marRight w:val="0"/>
      <w:marTop w:val="0"/>
      <w:marBottom w:val="0"/>
      <w:divBdr>
        <w:top w:val="none" w:sz="0" w:space="0" w:color="auto"/>
        <w:left w:val="none" w:sz="0" w:space="0" w:color="auto"/>
        <w:bottom w:val="none" w:sz="0" w:space="0" w:color="auto"/>
        <w:right w:val="none" w:sz="0" w:space="0" w:color="auto"/>
      </w:divBdr>
    </w:div>
    <w:div w:id="1832140002">
      <w:bodyDiv w:val="1"/>
      <w:marLeft w:val="0"/>
      <w:marRight w:val="0"/>
      <w:marTop w:val="0"/>
      <w:marBottom w:val="0"/>
      <w:divBdr>
        <w:top w:val="none" w:sz="0" w:space="0" w:color="auto"/>
        <w:left w:val="none" w:sz="0" w:space="0" w:color="auto"/>
        <w:bottom w:val="none" w:sz="0" w:space="0" w:color="auto"/>
        <w:right w:val="none" w:sz="0" w:space="0" w:color="auto"/>
      </w:divBdr>
    </w:div>
    <w:div w:id="1957901937">
      <w:bodyDiv w:val="1"/>
      <w:marLeft w:val="0"/>
      <w:marRight w:val="0"/>
      <w:marTop w:val="0"/>
      <w:marBottom w:val="0"/>
      <w:divBdr>
        <w:top w:val="none" w:sz="0" w:space="0" w:color="auto"/>
        <w:left w:val="none" w:sz="0" w:space="0" w:color="auto"/>
        <w:bottom w:val="none" w:sz="0" w:space="0" w:color="auto"/>
        <w:right w:val="none" w:sz="0" w:space="0" w:color="auto"/>
      </w:divBdr>
    </w:div>
    <w:div w:id="1975477227">
      <w:bodyDiv w:val="1"/>
      <w:marLeft w:val="0"/>
      <w:marRight w:val="0"/>
      <w:marTop w:val="0"/>
      <w:marBottom w:val="0"/>
      <w:divBdr>
        <w:top w:val="none" w:sz="0" w:space="0" w:color="auto"/>
        <w:left w:val="none" w:sz="0" w:space="0" w:color="auto"/>
        <w:bottom w:val="none" w:sz="0" w:space="0" w:color="auto"/>
        <w:right w:val="none" w:sz="0" w:space="0" w:color="auto"/>
      </w:divBdr>
      <w:divsChild>
        <w:div w:id="776873515">
          <w:marLeft w:val="547"/>
          <w:marRight w:val="0"/>
          <w:marTop w:val="0"/>
          <w:marBottom w:val="0"/>
          <w:divBdr>
            <w:top w:val="none" w:sz="0" w:space="0" w:color="auto"/>
            <w:left w:val="none" w:sz="0" w:space="0" w:color="auto"/>
            <w:bottom w:val="none" w:sz="0" w:space="0" w:color="auto"/>
            <w:right w:val="none" w:sz="0" w:space="0" w:color="auto"/>
          </w:divBdr>
        </w:div>
        <w:div w:id="1019817863">
          <w:marLeft w:val="547"/>
          <w:marRight w:val="0"/>
          <w:marTop w:val="0"/>
          <w:marBottom w:val="0"/>
          <w:divBdr>
            <w:top w:val="none" w:sz="0" w:space="0" w:color="auto"/>
            <w:left w:val="none" w:sz="0" w:space="0" w:color="auto"/>
            <w:bottom w:val="none" w:sz="0" w:space="0" w:color="auto"/>
            <w:right w:val="none" w:sz="0" w:space="0" w:color="auto"/>
          </w:divBdr>
        </w:div>
      </w:divsChild>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76276621">
      <w:bodyDiv w:val="1"/>
      <w:marLeft w:val="0"/>
      <w:marRight w:val="0"/>
      <w:marTop w:val="0"/>
      <w:marBottom w:val="0"/>
      <w:divBdr>
        <w:top w:val="none" w:sz="0" w:space="0" w:color="auto"/>
        <w:left w:val="none" w:sz="0" w:space="0" w:color="auto"/>
        <w:bottom w:val="none" w:sz="0" w:space="0" w:color="auto"/>
        <w:right w:val="none" w:sz="0" w:space="0" w:color="auto"/>
      </w:divBdr>
    </w:div>
    <w:div w:id="2082172567">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E9EDC-6C2C-440A-9C6C-A9B89901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2918</Words>
  <Characters>16055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18936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Yesica Escobar Pardo</cp:lastModifiedBy>
  <cp:revision>5</cp:revision>
  <cp:lastPrinted>2023-05-19T03:31:00Z</cp:lastPrinted>
  <dcterms:created xsi:type="dcterms:W3CDTF">2024-06-27T22:07:00Z</dcterms:created>
  <dcterms:modified xsi:type="dcterms:W3CDTF">2024-06-28T22:03:00Z</dcterms:modified>
</cp:coreProperties>
</file>